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i w:val="0"/>
          <w:color w:val="0070D2"/>
          <w:sz w:val="48"/>
        </w:rPr>
        <w:t>Salesforce Agentforce Media Squad Media</w:t>
      </w:r>
    </w:p>
    <w:p>
      <w:pPr>
        <w:jc w:val="center"/>
      </w:pPr>
      <w:r>
        <w:rPr>
          <w:b/>
          <w:i w:val="0"/>
          <w:color w:val="E8B84B"/>
          <w:sz w:val="28"/>
        </w:rPr>
        <w:t>Knowledge Transfer · Release 1</w:t>
      </w:r>
    </w:p>
    <w:p>
      <w:pPr>
        <w:jc w:val="center"/>
      </w:pPr>
      <w:r>
        <w:rPr>
          <w:b w:val="0"/>
          <w:i w:val="0"/>
          <w:color w:val="555577"/>
          <w:sz w:val="22"/>
        </w:rPr>
        <w:t>TV Azteca · Squad Media · Salesforce Professional Services</w:t>
      </w:r>
    </w:p>
    <w:p/>
    <w:p>
      <w:pPr>
        <w:spacing w:before="40" w:after="40"/>
        <w:pBdr>
          <w:bottom w:val="single" w:sz="4" w:space="1" w:color="002060"/>
        </w:pBdr>
      </w:pPr>
    </w:p>
    <w:p>
      <w:r>
        <w:br w:type="page"/>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2060"/>
          </w:tcPr>
          <w:p>
            <w:pPr>
              <w:spacing w:before="280" w:after="80"/>
              <w:jc w:val="center"/>
            </w:pPr>
            <w:r>
              <w:rPr>
                <w:b/>
                <w:i w:val="0"/>
                <w:color w:val="E8B84B"/>
                <w:sz w:val="56"/>
              </w:rPr>
              <w:t>SPRINT  1</w:t>
            </w:r>
          </w:p>
          <w:p>
            <w:pPr>
              <w:spacing w:before="40" w:after="280"/>
              <w:jc w:val="center"/>
            </w:pPr>
            <w:r>
              <w:rPr>
                <w:b w:val="0"/>
                <w:i w:val="0"/>
                <w:color w:val="C0D4FF"/>
                <w:sz w:val="26"/>
              </w:rPr>
              <w:t>Modelo de Datos, PCM y Flujo Media Plan</w:t>
            </w:r>
          </w:p>
        </w:tc>
      </w:tr>
    </w:tbl>
    <w:p>
      <w:pPr>
        <w:spacing w:after="120"/>
      </w:pPr>
    </w:p>
    <w:p>
      <w:pPr>
        <w:spacing w:before="40" w:after="40"/>
      </w:pPr>
      <w:r>
        <w:rPr>
          <w:b/>
          <w:i w:val="0"/>
          <w:color w:val="E8B84B"/>
          <w:sz w:val="16"/>
        </w:rPr>
        <w:t>Salesforce Media Cloud · TV Azteca · KT R1</w:t>
      </w:r>
    </w:p>
    <w:p>
      <w:pPr>
        <w:spacing w:before="240" w:after="80"/>
      </w:pPr>
      <w:r>
        <w:rPr>
          <w:b/>
          <w:i w:val="0"/>
          <w:color w:val="0070D2"/>
          <w:sz w:val="36"/>
        </w:rPr>
        <w:t>Arquitecturas Generales, PCM y Flujo Media Plan</w:t>
      </w:r>
    </w:p>
    <w:p>
      <w:pPr>
        <w:spacing w:before="40" w:after="80"/>
      </w:pPr>
      <w:r>
        <w:rPr>
          <w:b w:val="0"/>
          <w:i w:val="0"/>
          <w:color w:val="555577"/>
          <w:sz w:val="20"/>
        </w:rPr>
        <w:t>Fundamentos de la plataforma — habilitación inicial</w:t>
      </w:r>
    </w:p>
    <w:p>
      <w:pPr>
        <w:spacing w:before="40" w:after="40"/>
        <w:pBdr>
          <w:bottom w:val="single" w:sz="4" w:space="1" w:color="002060"/>
        </w:pBdr>
      </w:pPr>
    </w:p>
    <w:p>
      <w:pPr>
        <w:spacing w:before="240" w:after="80"/>
      </w:pPr>
      <w:r>
        <w:rPr>
          <w:b/>
          <w:i w:val="0"/>
          <w:color w:val="002060"/>
          <w:sz w:val="28"/>
        </w:rPr>
        <w:t>§ 1  Arquitecturas Generales</w:t>
      </w:r>
    </w:p>
    <w:p>
      <w:pPr>
        <w:spacing w:before="40" w:after="80"/>
      </w:pPr>
      <w:r>
        <w:rPr>
          <w:b w:val="0"/>
          <w:i w:val="0"/>
          <w:color w:val="555577"/>
          <w:sz w:val="20"/>
        </w:rPr>
        <w:t>Esta sección cubre la arquitectura TO BE de la plataforma y los pasos de habilitación inicial.</w:t>
      </w:r>
    </w:p>
    <w:p>
      <w:pPr>
        <w:spacing w:after="120"/>
      </w:pPr>
      <w:r>
        <w:rPr>
          <w:b w:val="0"/>
          <w:i/>
          <w:color w:val="555577"/>
          <w:sz w:val="16"/>
        </w:rPr>
        <w:t>[Imagen] DTF p.8 — Arquitectura TO BE: Capa 1 Modelo de Datos · Capa 2 Motores Comerciales · Capa 3 Integración DRO</w:t>
      </w:r>
    </w:p>
    <w:p>
      <w:pPr>
        <w:spacing w:before="140" w:after="80"/>
      </w:pPr>
      <w:r>
        <w:rPr>
          <w:b/>
          <w:i w:val="0"/>
          <w:color w:val="0070D2"/>
          <w:sz w:val="24"/>
        </w:rPr>
        <w:t>Agentforce Revenue Management</w:t>
      </w:r>
    </w:p>
    <w:p>
      <w:pPr>
        <w:spacing w:before="40" w:after="80"/>
      </w:pPr>
      <w:r>
        <w:rPr>
          <w:b w:val="0"/>
          <w:i w:val="0"/>
          <w:color w:val="555577"/>
          <w:sz w:val="20"/>
        </w:rPr>
        <w:t>Motor comercial central de la plataforma: orquesta el ciclo de cotización, configuración de productos, pricing y aprovisionamiento hacia sistemas externos.</w:t>
      </w:r>
    </w:p>
    <w:p>
      <w:pPr>
        <w:spacing w:after="120"/>
      </w:pPr>
      <w:r>
        <w:rPr>
          <w:b w:val="0"/>
          <w:i/>
          <w:color w:val="555577"/>
          <w:sz w:val="16"/>
        </w:rPr>
        <w:t>[Imagen] DTF p.10 — Agentforce Revenue Management: Context Service, Product Configurator, CPQ/Media Planning Grid y Salesforce Pricing</w:t>
      </w:r>
    </w:p>
    <w:p>
      <w:pPr>
        <w:spacing w:after="120"/>
      </w:pPr>
      <w:r>
        <w:rPr>
          <w:b w:val="0"/>
          <w:i/>
          <w:color w:val="555577"/>
          <w:sz w:val="16"/>
        </w:rPr>
        <w:t>[Imagen] DTF p.9 — Catálogo Centralizado PCM: Product Classification, Pricebook, Ad Target Category y segmentos geográficos</w:t>
      </w:r>
    </w:p>
    <w:p>
      <w:pPr>
        <w:spacing w:after="120"/>
      </w:pPr>
      <w:r>
        <w:rPr>
          <w:b w:val="0"/>
          <w:i/>
          <w:color w:val="555577"/>
          <w:sz w:val="16"/>
        </w:rPr>
        <w:t>[Imagen] DTF p.10 — DRO como nodo central: conecta Salesforce CRM (Oportunidades / Quotes) con APIs REST de backoffice (DS Multiad / Sistema Financiero) sin intervención manual</w:t>
      </w:r>
    </w:p>
    <w:p>
      <w:pPr>
        <w:spacing w:before="240" w:after="80"/>
      </w:pPr>
      <w:r>
        <w:rPr>
          <w:b/>
          <w:i w:val="0"/>
          <w:color w:val="002060"/>
          <w:sz w:val="28"/>
        </w:rPr>
        <w:t>§ 2  Modelo de Datos de la Solución</w:t>
      </w:r>
    </w:p>
    <w:p>
      <w:pPr>
        <w:spacing w:before="40" w:after="80"/>
      </w:pPr>
      <w:r>
        <w:rPr>
          <w:b w:val="0"/>
          <w:i w:val="0"/>
          <w:color w:val="555577"/>
          <w:sz w:val="20"/>
        </w:rPr>
        <w:t>Diagramas relacionales y modelos de datos que documentan la estructura de objetos de la implementación: módulo ASM y Agentforce Revenue Management.</w:t>
      </w:r>
    </w:p>
    <w:p>
      <w:pPr>
        <w:spacing w:before="140" w:after="80"/>
      </w:pPr>
      <w:r>
        <w:rPr>
          <w:b/>
          <w:i w:val="0"/>
          <w:color w:val="0070D2"/>
          <w:sz w:val="24"/>
        </w:rPr>
        <w:t>ASM — Advertising Sales Management</w:t>
      </w:r>
    </w:p>
    <w:p>
      <w:pPr>
        <w:spacing w:before="40" w:after="80"/>
      </w:pPr>
      <w:r>
        <w:rPr>
          <w:b w:val="0"/>
          <w:i w:val="0"/>
          <w:color w:val="555577"/>
          <w:sz w:val="20"/>
        </w:rPr>
        <w:t>Modelos de datos relacionales que componen el núcleo del módulo ASM: Customer/Ad Server, Productos y Precios, Media Property y Targeting.</w:t>
      </w:r>
    </w:p>
    <w:p>
      <w:pPr>
        <w:spacing w:before="140" w:after="80"/>
      </w:pPr>
      <w:r>
        <w:rPr>
          <w:b/>
          <w:i w:val="0"/>
          <w:color w:val="0070D2"/>
          <w:sz w:val="24"/>
        </w:rPr>
        <w:t>Agentforce Revenue Management — Modelo de Datos</w:t>
      </w:r>
    </w:p>
    <w:p>
      <w:pPr>
        <w:spacing w:before="40" w:after="80"/>
      </w:pPr>
      <w:r>
        <w:rPr>
          <w:b w:val="0"/>
          <w:i w:val="0"/>
          <w:color w:val="555577"/>
          <w:sz w:val="20"/>
        </w:rPr>
        <w:t>Diagrama del modelo de datos de Agentforce Revenue Management para TV Azteca. Define los objetos y relaciones que soportan el ciclo completo de gestión de catálogo, cotización y orden.</w:t>
      </w:r>
    </w:p>
    <w:p>
      <w:pPr>
        <w:spacing w:before="240" w:after="80"/>
      </w:pPr>
      <w:r>
        <w:rPr>
          <w:b/>
          <w:i w:val="0"/>
          <w:color w:val="002060"/>
          <w:sz w:val="28"/>
        </w:rPr>
        <w:t>§ 3  Configuraciones Pre-Requisito</w:t>
      </w:r>
    </w:p>
    <w:p>
      <w:pPr>
        <w:spacing w:before="40" w:after="80"/>
      </w:pPr>
      <w:r>
        <w:rPr>
          <w:b w:val="0"/>
          <w:i w:val="0"/>
          <w:color w:val="555577"/>
          <w:sz w:val="20"/>
        </w:rPr>
        <w:t>Conjunto de habilitaciones y registros base que deben existir en el org antes de iniciar cualquier flujo funcional.</w:t>
      </w:r>
    </w:p>
    <w:p>
      <w:pPr>
        <w:spacing w:before="140" w:after="80"/>
      </w:pPr>
      <w:r>
        <w:rPr>
          <w:b/>
          <w:i w:val="0"/>
          <w:color w:val="0070D2"/>
          <w:sz w:val="24"/>
        </w:rPr>
        <w:t>2.1 ASM on Platform — Roles y Terminología</w:t>
      </w:r>
    </w:p>
    <w:p>
      <w:pPr>
        <w:spacing w:before="40" w:after="80"/>
      </w:pPr>
      <w:r>
        <w:rPr>
          <w:b w:val="0"/>
          <w:i w:val="0"/>
          <w:color w:val="555577"/>
          <w:sz w:val="20"/>
        </w:rPr>
        <w:t>Advertising Sales Management define dos grupos de roles con responsabilidades diferenciadas sobre la plataforma.</w:t>
      </w:r>
    </w:p>
    <w:p>
      <w:pPr>
        <w:spacing w:before="140" w:after="80"/>
      </w:pPr>
      <w:r>
        <w:rPr>
          <w:b/>
          <w:i w:val="0"/>
          <w:color w:val="0070D2"/>
          <w:sz w:val="24"/>
        </w:rPr>
        <w:t>Roles de Implementación</w:t>
      </w:r>
    </w:p>
    <w:p>
      <w:pPr>
        <w:pStyle w:val="ListBullet"/>
        <w:spacing w:after="40"/>
      </w:pPr>
      <w:r>
        <w:rPr>
          <w:b w:val="0"/>
          <w:i w:val="0"/>
          <w:sz w:val="18"/>
        </w:rPr>
        <w:t>Admin: configura objetos, picklists, permission sets, page layouts y activaciones en Setup</w:t>
      </w:r>
    </w:p>
    <w:p>
      <w:pPr>
        <w:pStyle w:val="ListBullet"/>
        <w:spacing w:after="40"/>
      </w:pPr>
      <w:r>
        <w:rPr>
          <w:b w:val="0"/>
          <w:i w:val="0"/>
          <w:sz w:val="18"/>
        </w:rPr>
        <w:t>System Integrator: desarrolla y mantiene integraciones técnicas con Ad Servers externos (GAM)</w:t>
      </w:r>
    </w:p>
    <w:p>
      <w:pPr>
        <w:spacing w:before="140" w:after="80"/>
      </w:pPr>
      <w:r>
        <w:rPr>
          <w:b/>
          <w:i w:val="0"/>
          <w:color w:val="0070D2"/>
          <w:sz w:val="24"/>
        </w:rPr>
        <w:t>Roles de Operación</w:t>
      </w:r>
    </w:p>
    <w:p>
      <w:pPr>
        <w:pStyle w:val="ListBullet"/>
        <w:spacing w:after="40"/>
      </w:pPr>
      <w:r>
        <w:rPr>
          <w:b w:val="0"/>
          <w:i w:val="0"/>
          <w:sz w:val="18"/>
        </w:rPr>
        <w:t>Ad Sales Admin: gestión completa del proceso de venta publicitaria</w:t>
      </w:r>
    </w:p>
    <w:p>
      <w:pPr>
        <w:pStyle w:val="ListBullet"/>
        <w:spacing w:after="40"/>
      </w:pPr>
      <w:r>
        <w:rPr>
          <w:b w:val="0"/>
          <w:i w:val="0"/>
          <w:sz w:val="18"/>
        </w:rPr>
        <w:t>Media Planner: creación y configuración de Media Plans y placements</w:t>
      </w:r>
    </w:p>
    <w:p>
      <w:pPr>
        <w:pStyle w:val="ListBullet"/>
        <w:spacing w:after="40"/>
      </w:pPr>
      <w:r>
        <w:rPr>
          <w:b w:val="0"/>
          <w:i w:val="0"/>
          <w:sz w:val="18"/>
        </w:rPr>
        <w:t>Sales Rep: gestión de oportunidades y propuestas comerciales</w:t>
      </w:r>
    </w:p>
    <w:p>
      <w:pPr>
        <w:pStyle w:val="ListBullet"/>
        <w:spacing w:after="40"/>
      </w:pPr>
      <w:r>
        <w:rPr>
          <w:b w:val="0"/>
          <w:i w:val="0"/>
          <w:sz w:val="18"/>
        </w:rPr>
        <w:t>Ad Operations Specialist: ejecución y seguimiento de campañas</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Término</w:t>
            </w:r>
          </w:p>
        </w:tc>
        <w:tc>
          <w:tcPr>
            <w:tcW w:type="dxa" w:w="4703"/>
            <w:shd w:val="clear" w:color="auto" w:fill="002060"/>
          </w:tcPr>
          <w:p>
            <w:r>
              <w:rPr>
                <w:b/>
                <w:color w:val="FFFFFF"/>
                <w:sz w:val="18"/>
              </w:rPr>
              <w:t>Definición</w:t>
            </w:r>
          </w:p>
        </w:tc>
      </w:tr>
      <w:tr>
        <w:tc>
          <w:tcPr>
            <w:tcW w:type="dxa" w:w="4703"/>
          </w:tcPr>
          <w:p>
            <w:r>
              <w:rPr>
                <w:sz w:val="18"/>
              </w:rPr>
              <w:t>Publisher</w:t>
            </w:r>
          </w:p>
        </w:tc>
        <w:tc>
          <w:tcPr>
            <w:tcW w:type="dxa" w:w="4703"/>
          </w:tcPr>
          <w:p>
            <w:r>
              <w:rPr>
                <w:sz w:val="18"/>
              </w:rPr>
              <w:t>Entidad que vende espacios publicitarios — TV Azteca</w:t>
            </w:r>
          </w:p>
        </w:tc>
      </w:tr>
      <w:tr>
        <w:tc>
          <w:tcPr>
            <w:tcW w:type="dxa" w:w="4703"/>
          </w:tcPr>
          <w:p>
            <w:r>
              <w:rPr>
                <w:sz w:val="18"/>
              </w:rPr>
              <w:t>Advertiser</w:t>
            </w:r>
          </w:p>
        </w:tc>
        <w:tc>
          <w:tcPr>
            <w:tcW w:type="dxa" w:w="4703"/>
          </w:tcPr>
          <w:p>
            <w:r>
              <w:rPr>
                <w:sz w:val="18"/>
              </w:rPr>
              <w:t>Marca o empresa que compra espacios publicitarios</w:t>
            </w:r>
          </w:p>
        </w:tc>
      </w:tr>
      <w:tr>
        <w:tc>
          <w:tcPr>
            <w:tcW w:type="dxa" w:w="4703"/>
          </w:tcPr>
          <w:p>
            <w:r>
              <w:rPr>
                <w:sz w:val="18"/>
              </w:rPr>
              <w:t>Agency</w:t>
            </w:r>
          </w:p>
        </w:tc>
        <w:tc>
          <w:tcPr>
            <w:tcW w:type="dxa" w:w="4703"/>
          </w:tcPr>
          <w:p>
            <w:r>
              <w:rPr>
                <w:sz w:val="18"/>
              </w:rPr>
              <w:t>Intermediario que actúa en nombre del anunciante</w:t>
            </w:r>
          </w:p>
        </w:tc>
      </w:tr>
      <w:tr>
        <w:tc>
          <w:tcPr>
            <w:tcW w:type="dxa" w:w="4703"/>
          </w:tcPr>
          <w:p>
            <w:r>
              <w:rPr>
                <w:sz w:val="18"/>
              </w:rPr>
              <w:t>RFP</w:t>
            </w:r>
          </w:p>
        </w:tc>
        <w:tc>
          <w:tcPr>
            <w:tcW w:type="dxa" w:w="4703"/>
          </w:tcPr>
          <w:p>
            <w:r>
              <w:rPr>
                <w:sz w:val="18"/>
              </w:rPr>
              <w:t>Request For Proposal — solicitud formal de cotización</w:t>
            </w:r>
          </w:p>
        </w:tc>
      </w:tr>
      <w:tr>
        <w:tc>
          <w:tcPr>
            <w:tcW w:type="dxa" w:w="4703"/>
          </w:tcPr>
          <w:p>
            <w:r>
              <w:rPr>
                <w:sz w:val="18"/>
              </w:rPr>
              <w:t>Media Plan</w:t>
            </w:r>
          </w:p>
        </w:tc>
        <w:tc>
          <w:tcPr>
            <w:tcW w:type="dxa" w:w="4703"/>
          </w:tcPr>
          <w:p>
            <w:r>
              <w:rPr>
                <w:sz w:val="18"/>
              </w:rPr>
              <w:t>Propuesta de placements de campaña representada como Quote en Salesforce</w:t>
            </w:r>
          </w:p>
        </w:tc>
      </w:tr>
      <w:tr>
        <w:tc>
          <w:tcPr>
            <w:tcW w:type="dxa" w:w="4703"/>
          </w:tcPr>
          <w:p>
            <w:r>
              <w:rPr>
                <w:sz w:val="18"/>
              </w:rPr>
              <w:t>Ad Server</w:t>
            </w:r>
          </w:p>
        </w:tc>
        <w:tc>
          <w:tcPr>
            <w:tcW w:type="dxa" w:w="4703"/>
          </w:tcPr>
          <w:p>
            <w:r>
              <w:rPr>
                <w:sz w:val="18"/>
              </w:rPr>
              <w:t>Sistema externo (GAM) que sirve y trackea los anuncios en producción</w:t>
            </w:r>
          </w:p>
        </w:tc>
      </w:tr>
      <w:tr>
        <w:tc>
          <w:tcPr>
            <w:tcW w:type="dxa" w:w="4703"/>
          </w:tcPr>
          <w:p>
            <w:r>
              <w:rPr>
                <w:sz w:val="18"/>
              </w:rPr>
              <w:t>Media Channel</w:t>
            </w:r>
          </w:p>
        </w:tc>
        <w:tc>
          <w:tcPr>
            <w:tcW w:type="dxa" w:w="4703"/>
          </w:tcPr>
          <w:p>
            <w:r>
              <w:rPr>
                <w:sz w:val="18"/>
              </w:rPr>
              <w:t>Propiedad editorial donde TV Azteca sirve publicidad (TVAzteca Uno, ADN40…)</w:t>
            </w:r>
          </w:p>
        </w:tc>
      </w:tr>
      <w:tr>
        <w:tc>
          <w:tcPr>
            <w:tcW w:type="dxa" w:w="4703"/>
          </w:tcPr>
          <w:p>
            <w:r>
              <w:rPr>
                <w:sz w:val="18"/>
              </w:rPr>
              <w:t>Ad Space</w:t>
            </w:r>
          </w:p>
        </w:tc>
        <w:tc>
          <w:tcPr>
            <w:tcW w:type="dxa" w:w="4703"/>
          </w:tcPr>
          <w:p>
            <w:r>
              <w:rPr>
                <w:sz w:val="18"/>
              </w:rPr>
              <w:t>Unidad de inventario disponible para venta en un canal (AdSpaceSpecification)</w:t>
            </w:r>
          </w:p>
        </w:tc>
      </w:tr>
      <w:tr>
        <w:tc>
          <w:tcPr>
            <w:tcW w:type="dxa" w:w="4703"/>
          </w:tcPr>
          <w:p>
            <w:r>
              <w:rPr>
                <w:sz w:val="18"/>
              </w:rPr>
              <w:t>Product Classification</w:t>
            </w:r>
          </w:p>
        </w:tc>
        <w:tc>
          <w:tcPr>
            <w:tcW w:type="dxa" w:w="4703"/>
          </w:tcPr>
          <w:p>
            <w:r>
              <w:rPr>
                <w:sz w:val="18"/>
              </w:rPr>
              <w:t>Atributo que vincula un Product2 con su Ad Space — clave para la selección en el Media Plan</w:t>
            </w:r>
          </w:p>
        </w:tc>
      </w:tr>
      <w:tr>
        <w:tc>
          <w:tcPr>
            <w:tcW w:type="dxa" w:w="4703"/>
          </w:tcPr>
          <w:p>
            <w:r>
              <w:rPr>
                <w:sz w:val="18"/>
              </w:rPr>
              <w:t>Pricing Model</w:t>
            </w:r>
          </w:p>
        </w:tc>
        <w:tc>
          <w:tcPr>
            <w:tcW w:type="dxa" w:w="4703"/>
          </w:tcPr>
          <w:p>
            <w:r>
              <w:rPr>
                <w:sz w:val="18"/>
              </w:rPr>
              <w:t>Modelo de cobro: CPM (por mil impresiones) o CPC (por clic) o FIJO (tarifa plana)</w:t>
            </w:r>
          </w:p>
        </w:tc>
      </w:tr>
      <w:tr>
        <w:tc>
          <w:tcPr>
            <w:tcW w:type="dxa" w:w="4703"/>
          </w:tcPr>
          <w:p>
            <w:r>
              <w:rPr>
                <w:sz w:val="18"/>
              </w:rPr>
              <w:t>Price Impacting Attribute</w:t>
            </w:r>
          </w:p>
        </w:tc>
        <w:tc>
          <w:tcPr>
            <w:tcW w:type="dxa" w:w="4703"/>
          </w:tcPr>
          <w:p>
            <w:r>
              <w:rPr>
                <w:sz w:val="18"/>
              </w:rPr>
              <w:t>Atributo de producto que modifica el precio calculado por el Price Waterfall</w:t>
            </w:r>
          </w:p>
        </w:tc>
      </w:tr>
      <w:tr>
        <w:tc>
          <w:tcPr>
            <w:tcW w:type="dxa" w:w="4703"/>
          </w:tcPr>
          <w:p>
            <w:r>
              <w:rPr>
                <w:sz w:val="18"/>
              </w:rPr>
              <w:t>Targeting</w:t>
            </w:r>
          </w:p>
        </w:tc>
        <w:tc>
          <w:tcPr>
            <w:tcW w:type="dxa" w:w="4703"/>
          </w:tcPr>
          <w:p>
            <w:r>
              <w:rPr>
                <w:sz w:val="18"/>
              </w:rPr>
              <w:t>Criterios de segmentación de audiencia: Geografía, Unidades de Anuncio, Audience</w:t>
            </w:r>
          </w:p>
        </w:tc>
      </w:tr>
    </w:tbl>
    <w:p>
      <w:pPr>
        <w:spacing w:after="80"/>
      </w:pPr>
    </w:p>
    <w:p>
      <w:pPr>
        <w:spacing w:before="140" w:after="80"/>
      </w:pPr>
      <w:r>
        <w:rPr>
          <w:b/>
          <w:i w:val="0"/>
          <w:color w:val="0070D2"/>
          <w:sz w:val="24"/>
        </w:rPr>
        <w:t>2.2 Permission Sets TVAM_*</w:t>
      </w:r>
    </w:p>
    <w:p>
      <w:pPr>
        <w:spacing w:before="40" w:after="80"/>
      </w:pPr>
      <w:r>
        <w:rPr>
          <w:b w:val="0"/>
          <w:i w:val="0"/>
          <w:color w:val="555577"/>
          <w:sz w:val="20"/>
        </w:rPr>
        <w:t>9 Permission Sets desplegados para la implementación TV Azteca Media. Cada PS agrupa objetos, campos y acciones de un rol funcional o técnico específico.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API Name</w:t>
            </w:r>
          </w:p>
        </w:tc>
        <w:tc>
          <w:tcPr>
            <w:tcW w:type="dxa" w:w="3135"/>
            <w:shd w:val="clear" w:color="auto" w:fill="002060"/>
          </w:tcPr>
          <w:p>
            <w:r>
              <w:rPr>
                <w:b/>
                <w:color w:val="FFFFFF"/>
                <w:sz w:val="18"/>
              </w:rPr>
              <w:t>Label</w:t>
            </w:r>
          </w:p>
        </w:tc>
        <w:tc>
          <w:tcPr>
            <w:tcW w:type="dxa" w:w="3135"/>
            <w:shd w:val="clear" w:color="auto" w:fill="002060"/>
          </w:tcPr>
          <w:p>
            <w:r>
              <w:rPr>
                <w:b/>
                <w:color w:val="FFFFFF"/>
                <w:sz w:val="18"/>
              </w:rPr>
              <w:t>Descripción</w:t>
            </w:r>
          </w:p>
        </w:tc>
      </w:tr>
      <w:tr>
        <w:tc>
          <w:tcPr>
            <w:tcW w:type="dxa" w:w="3135"/>
          </w:tcPr>
          <w:p>
            <w:r>
              <w:rPr>
                <w:sz w:val="18"/>
              </w:rPr>
              <w:t>TVA_DevOpsUser</w:t>
            </w:r>
          </w:p>
        </w:tc>
        <w:tc>
          <w:tcPr>
            <w:tcW w:type="dxa" w:w="3135"/>
          </w:tcPr>
          <w:p>
            <w:r>
              <w:rPr>
                <w:sz w:val="18"/>
              </w:rPr>
              <w:t>DevOps User</w:t>
            </w:r>
          </w:p>
        </w:tc>
        <w:tc>
          <w:tcPr>
            <w:tcW w:type="dxa" w:w="3135"/>
          </w:tcPr>
          <w:p>
            <w:r>
              <w:rPr>
                <w:sz w:val="18"/>
              </w:rPr>
              <w:t>Permisos para despliegue y automatización CI/CD</w:t>
            </w:r>
          </w:p>
        </w:tc>
      </w:tr>
      <w:tr>
        <w:tc>
          <w:tcPr>
            <w:tcW w:type="dxa" w:w="3135"/>
          </w:tcPr>
          <w:p>
            <w:r>
              <w:rPr>
                <w:sz w:val="18"/>
              </w:rPr>
              <w:t>TVAI_AccesoIntegraciones</w:t>
            </w:r>
          </w:p>
        </w:tc>
        <w:tc>
          <w:tcPr>
            <w:tcW w:type="dxa" w:w="3135"/>
          </w:tcPr>
          <w:p>
            <w:r>
              <w:rPr>
                <w:sz w:val="18"/>
              </w:rPr>
              <w:t>Acceso Integraciones</w:t>
            </w:r>
          </w:p>
        </w:tc>
        <w:tc>
          <w:tcPr>
            <w:tcW w:type="dxa" w:w="3135"/>
          </w:tcPr>
          <w:p>
            <w:r>
              <w:rPr>
                <w:sz w:val="18"/>
              </w:rPr>
              <w:t>Acceso al Permission Set Group de integraciones</w:t>
            </w:r>
          </w:p>
        </w:tc>
      </w:tr>
      <w:tr>
        <w:tc>
          <w:tcPr>
            <w:tcW w:type="dxa" w:w="3135"/>
          </w:tcPr>
          <w:p>
            <w:r>
              <w:rPr>
                <w:sz w:val="18"/>
              </w:rPr>
              <w:t>TVAM_AdOperations</w:t>
            </w:r>
          </w:p>
        </w:tc>
        <w:tc>
          <w:tcPr>
            <w:tcW w:type="dxa" w:w="3135"/>
          </w:tcPr>
          <w:p>
            <w:r>
              <w:rPr>
                <w:sz w:val="18"/>
              </w:rPr>
              <w:t>Ad Operations</w:t>
            </w:r>
          </w:p>
        </w:tc>
        <w:tc>
          <w:tcPr>
            <w:tcW w:type="dxa" w:w="3135"/>
          </w:tcPr>
          <w:p>
            <w:r>
              <w:rPr>
                <w:sz w:val="18"/>
              </w:rPr>
              <w:t>Ejecución y seguimiento de campañas publicitarias</w:t>
            </w:r>
          </w:p>
        </w:tc>
      </w:tr>
      <w:tr>
        <w:tc>
          <w:tcPr>
            <w:tcW w:type="dxa" w:w="3135"/>
          </w:tcPr>
          <w:p>
            <w:r>
              <w:rPr>
                <w:sz w:val="18"/>
              </w:rPr>
              <w:t>TVAM_AdSalesAdmin</w:t>
            </w:r>
          </w:p>
        </w:tc>
        <w:tc>
          <w:tcPr>
            <w:tcW w:type="dxa" w:w="3135"/>
          </w:tcPr>
          <w:p>
            <w:r>
              <w:rPr>
                <w:sz w:val="18"/>
              </w:rPr>
              <w:t>Ad Sales Admin</w:t>
            </w:r>
          </w:p>
        </w:tc>
        <w:tc>
          <w:tcPr>
            <w:tcW w:type="dxa" w:w="3135"/>
          </w:tcPr>
          <w:p>
            <w:r>
              <w:rPr>
                <w:sz w:val="18"/>
              </w:rPr>
              <w:t>Gestión completa del proceso de ventas publicitarias</w:t>
            </w:r>
          </w:p>
        </w:tc>
      </w:tr>
      <w:tr>
        <w:tc>
          <w:tcPr>
            <w:tcW w:type="dxa" w:w="3135"/>
          </w:tcPr>
          <w:p>
            <w:r>
              <w:rPr>
                <w:sz w:val="18"/>
              </w:rPr>
              <w:t>TVAM_AsmSystemAdmin</w:t>
            </w:r>
          </w:p>
        </w:tc>
        <w:tc>
          <w:tcPr>
            <w:tcW w:type="dxa" w:w="3135"/>
          </w:tcPr>
          <w:p>
            <w:r>
              <w:rPr>
                <w:sz w:val="18"/>
              </w:rPr>
              <w:t>ASM System Admin</w:t>
            </w:r>
          </w:p>
        </w:tc>
        <w:tc>
          <w:tcPr>
            <w:tcW w:type="dxa" w:w="3135"/>
          </w:tcPr>
          <w:p>
            <w:r>
              <w:rPr>
                <w:sz w:val="18"/>
              </w:rPr>
              <w:t>Acceso administrativo completo a ASM</w:t>
            </w:r>
          </w:p>
        </w:tc>
      </w:tr>
      <w:tr>
        <w:tc>
          <w:tcPr>
            <w:tcW w:type="dxa" w:w="3135"/>
          </w:tcPr>
          <w:p>
            <w:r>
              <w:rPr>
                <w:sz w:val="18"/>
              </w:rPr>
              <w:t>TVAM_AsmSystemIntegrator</w:t>
            </w:r>
          </w:p>
        </w:tc>
        <w:tc>
          <w:tcPr>
            <w:tcW w:type="dxa" w:w="3135"/>
          </w:tcPr>
          <w:p>
            <w:r>
              <w:rPr>
                <w:sz w:val="18"/>
              </w:rPr>
              <w:t>ASM System Integrator</w:t>
            </w:r>
          </w:p>
        </w:tc>
        <w:tc>
          <w:tcPr>
            <w:tcW w:type="dxa" w:w="3135"/>
          </w:tcPr>
          <w:p>
            <w:r>
              <w:rPr>
                <w:sz w:val="18"/>
              </w:rPr>
              <w:t>Acceso técnico de integración ASM</w:t>
            </w:r>
          </w:p>
        </w:tc>
      </w:tr>
      <w:tr>
        <w:tc>
          <w:tcPr>
            <w:tcW w:type="dxa" w:w="3135"/>
          </w:tcPr>
          <w:p>
            <w:r>
              <w:rPr>
                <w:sz w:val="18"/>
              </w:rPr>
              <w:t>TVAM_DroFulfillment</w:t>
            </w:r>
          </w:p>
        </w:tc>
        <w:tc>
          <w:tcPr>
            <w:tcW w:type="dxa" w:w="3135"/>
          </w:tcPr>
          <w:p>
            <w:r>
              <w:rPr>
                <w:sz w:val="18"/>
              </w:rPr>
              <w:t>DRO Fulfillment</w:t>
            </w:r>
          </w:p>
        </w:tc>
        <w:tc>
          <w:tcPr>
            <w:tcW w:type="dxa" w:w="3135"/>
          </w:tcPr>
          <w:p>
            <w:r>
              <w:rPr>
                <w:sz w:val="18"/>
              </w:rPr>
              <w:t>Gestión de DRO, fulfillment y obligaciones de campaña</w:t>
            </w:r>
          </w:p>
        </w:tc>
      </w:tr>
      <w:tr>
        <w:tc>
          <w:tcPr>
            <w:tcW w:type="dxa" w:w="3135"/>
          </w:tcPr>
          <w:p>
            <w:r>
              <w:rPr>
                <w:sz w:val="18"/>
              </w:rPr>
              <w:t>TVAM_MediaPlanner</w:t>
            </w:r>
          </w:p>
        </w:tc>
        <w:tc>
          <w:tcPr>
            <w:tcW w:type="dxa" w:w="3135"/>
          </w:tcPr>
          <w:p>
            <w:r>
              <w:rPr>
                <w:sz w:val="18"/>
              </w:rPr>
              <w:t>Media Planner</w:t>
            </w:r>
          </w:p>
        </w:tc>
        <w:tc>
          <w:tcPr>
            <w:tcW w:type="dxa" w:w="3135"/>
          </w:tcPr>
          <w:p>
            <w:r>
              <w:rPr>
                <w:sz w:val="18"/>
              </w:rPr>
              <w:t>Planificación de medios e inventario publicitario</w:t>
            </w:r>
          </w:p>
        </w:tc>
      </w:tr>
      <w:tr>
        <w:tc>
          <w:tcPr>
            <w:tcW w:type="dxa" w:w="3135"/>
          </w:tcPr>
          <w:p>
            <w:r>
              <w:rPr>
                <w:sz w:val="18"/>
              </w:rPr>
              <w:t>TVAM_ProductPricingAdmin</w:t>
            </w:r>
          </w:p>
        </w:tc>
        <w:tc>
          <w:tcPr>
            <w:tcW w:type="dxa" w:w="3135"/>
          </w:tcPr>
          <w:p>
            <w:r>
              <w:rPr>
                <w:sz w:val="18"/>
              </w:rPr>
              <w:t>Product &amp; Pricing Admin</w:t>
            </w:r>
          </w:p>
        </w:tc>
        <w:tc>
          <w:tcPr>
            <w:tcW w:type="dxa" w:w="3135"/>
          </w:tcPr>
          <w:p>
            <w:r>
              <w:rPr>
                <w:sz w:val="18"/>
              </w:rPr>
              <w:t>Administración del catálogo de productos y precios</w:t>
            </w:r>
          </w:p>
        </w:tc>
      </w:tr>
    </w:tbl>
    <w:p>
      <w:pPr>
        <w:spacing w:after="80"/>
      </w:pPr>
    </w:p>
    <w:p>
      <w:pPr>
        <w:spacing w:before="140" w:after="80"/>
      </w:pPr>
      <w:r>
        <w:rPr>
          <w:b/>
          <w:i w:val="0"/>
          <w:color w:val="0070D2"/>
          <w:sz w:val="24"/>
        </w:rPr>
        <w:t>2.3 Habilitar funciones de venta publicitaria</w:t>
      </w:r>
    </w:p>
    <w:p>
      <w:pPr>
        <w:spacing w:before="40" w:after="80"/>
      </w:pPr>
      <w:r>
        <w:rPr>
          <w:b w:val="0"/>
          <w:i w:val="0"/>
          <w:color w:val="555577"/>
          <w:sz w:val="20"/>
        </w:rPr>
        <w:t>Pasos de habilitación en Salesforce Setup requeridos antes de operar cualquier flujo de Media Plan.</w:t>
      </w:r>
    </w:p>
    <w:p>
      <w:pPr>
        <w:pStyle w:val="ListNumber"/>
        <w:spacing w:after="40"/>
      </w:pPr>
      <w:r>
        <w:rPr>
          <w:b w:val="0"/>
          <w:i w:val="0"/>
          <w:sz w:val="18"/>
        </w:rPr>
        <w:t>Media Cloud Configuration — Activar la configuración de disponibilidad de anuncios por defecto. Habilita el botón "Create Media Plan" en Opportunity.</w:t>
      </w:r>
    </w:p>
    <w:p>
      <w:pPr>
        <w:pStyle w:val="ListNumber"/>
        <w:spacing w:after="40"/>
      </w:pPr>
      <w:r>
        <w:rPr>
          <w:b w:val="0"/>
          <w:i w:val="0"/>
          <w:sz w:val="18"/>
        </w:rPr>
        <w:t>Context Service — Activar  para MediaPlanTransactionContext — requerido por el motor de cotización y pricing en tiempo real.</w:t>
      </w:r>
    </w:p>
    <w:p>
      <w:pPr>
        <w:pStyle w:val="ListNumber"/>
        <w:spacing w:after="40"/>
      </w:pPr>
      <w:r>
        <w:rPr>
          <w:b w:val="0"/>
          <w:i w:val="0"/>
          <w:sz w:val="18"/>
        </w:rPr>
        <w:t>Revenue Cloud Features — Habilitar funciones de Revenue Cloud: quotes, orders, Salesforce Pricing, Instant Pricing, Runtime Product Configuration y Business Rules Engine.</w:t>
      </w:r>
    </w:p>
    <w:p>
      <w:pPr>
        <w:spacing w:before="140" w:after="80"/>
      </w:pPr>
      <w:r>
        <w:rPr>
          <w:b/>
          <w:i w:val="0"/>
          <w:color w:val="0070D2"/>
          <w:sz w:val="24"/>
        </w:rPr>
        <w:t>2.4 Media Cloud Configuration</w:t>
      </w:r>
    </w:p>
    <w:p>
      <w:pPr>
        <w:spacing w:after="80"/>
        <w:ind w:left="283"/>
      </w:pPr>
      <w:r>
        <w:rPr>
          <w:rFonts w:ascii="Courier New" w:hAnsi="Courier New"/>
          <w:b w:val="0"/>
          <w:i w:val="0"/>
          <w:color w:val="4080C0"/>
          <w:sz w:val="16"/>
        </w:rPr>
        <w:t>// Ruta de activación Setup → Media Cloud Configuration → Activar</w:t>
      </w:r>
    </w:p>
    <w:p>
      <w:pPr>
        <w:spacing w:before="40" w:after="80"/>
      </w:pPr>
      <w:r>
        <w:rPr>
          <w:b w:val="0"/>
          <w:i w:val="0"/>
          <w:color w:val="555577"/>
          <w:sz w:val="20"/>
        </w:rPr>
        <w:t>Efecto de la activación: carga el paquete de metadata JSON base que incluye páginas, componentes, pestañas y modales del plan de medios. Este proceso instala los elementos de interfaz necesarios para operar dentro de las Opportunities.</w:t>
      </w:r>
    </w:p>
    <w:tbl>
      <w:tblPr>
        <w:tblStyle w:val="TableGrid"/>
        <w:tblW w:type="auto" w:w="0"/>
        <w:tblLook w:firstColumn="1" w:firstRow="1" w:lastColumn="0" w:lastRow="0" w:noHBand="0" w:noVBand="1" w:val="04A0"/>
      </w:tblPr>
      <w:tblGrid>
        <w:gridCol w:w="9406"/>
      </w:tblGrid>
      <w:tr>
        <w:tc>
          <w:tcPr>
            <w:tcW w:type="dxa" w:w="9406"/>
            <w:shd w:val="clear" w:color="auto" w:fill="3A0000"/>
          </w:tcPr>
          <w:p>
            <w:r>
              <w:rPr>
                <w:color w:val="F09090"/>
                <w:sz w:val="18"/>
              </w:rPr>
              <w:t>Crítico  Sin habilitar Media Cloud Configuration, el botón "Create Media Plan" NO aparece en la Opportunity. Esta configuración es el punto de partida absoluto de la implementación.</w:t>
            </w:r>
          </w:p>
        </w:tc>
      </w:tr>
    </w:tbl>
    <w:p>
      <w:pPr>
        <w:spacing w:after="80"/>
      </w:pPr>
    </w:p>
    <w:p>
      <w:pPr>
        <w:spacing w:before="140" w:after="80"/>
      </w:pPr>
      <w:r>
        <w:rPr>
          <w:b/>
          <w:i w:val="0"/>
          <w:color w:val="0070D2"/>
          <w:sz w:val="24"/>
        </w:rPr>
        <w:t>2.5 Revenue Cloud Settings</w:t>
      </w:r>
    </w:p>
    <w:p>
      <w:pPr>
        <w:spacing w:before="40" w:after="80"/>
      </w:pPr>
      <w:r>
        <w:rPr>
          <w:b w:val="0"/>
          <w:i w:val="0"/>
          <w:color w:val="555577"/>
          <w:sz w:val="20"/>
        </w:rPr>
        <w:t>Los siguientes 5 pasos deben ejecutarse en orden estricto . El primer paso es obligatorio y desbloquea los pasos subsecuentes.</w:t>
      </w:r>
    </w:p>
    <w:p>
      <w:pPr>
        <w:pStyle w:val="ListNumber"/>
        <w:spacing w:after="40"/>
      </w:pPr>
      <w:r>
        <w:rPr>
          <w:b w:val="0"/>
          <w:i w:val="0"/>
          <w:sz w:val="18"/>
        </w:rPr>
        <w:t>Enable Revenue Cloud Features — Setup → Revenue Settings Primer paso obligatorio. Activa el motor Revenue Lifecycle Management y expone todos los settings posteriores.</w:t>
      </w:r>
    </w:p>
    <w:p>
      <w:pPr>
        <w:pStyle w:val="ListNumber"/>
        <w:spacing w:after="40"/>
      </w:pPr>
      <w:r>
        <w:rPr>
          <w:b w:val="0"/>
          <w:i w:val="0"/>
          <w:sz w:val="18"/>
        </w:rPr>
        <w:t>Salesforce Pricing — Habilita el Price Waterfall completo — permite que los precios se calculen en cascada según las reglas definidas en la Pricing Procedure.</w:t>
      </w:r>
    </w:p>
    <w:p>
      <w:pPr>
        <w:pStyle w:val="ListNumber"/>
        <w:spacing w:after="40"/>
      </w:pPr>
      <w:r>
        <w:rPr>
          <w:b w:val="0"/>
          <w:i w:val="0"/>
          <w:sz w:val="18"/>
        </w:rPr>
        <w:t>Instant Pricing — Recalcula montos en la UI sin necesidad de guardar el registro. Indispensable para la experiencia fluida en el Media Planning Grid.</w:t>
      </w:r>
    </w:p>
    <w:p>
      <w:pPr>
        <w:pStyle w:val="ListNumber"/>
        <w:spacing w:after="40"/>
      </w:pPr>
      <w:r>
        <w:rPr>
          <w:b w:val="0"/>
          <w:i w:val="0"/>
          <w:sz w:val="18"/>
        </w:rPr>
        <w:t>Configure Products at Runtime — Habilita la visualización de los flujos UI de configuración de productos en la línea de cotización (Line Item Configuration panel).</w:t>
      </w:r>
    </w:p>
    <w:p>
      <w:pPr>
        <w:pStyle w:val="ListNumber"/>
        <w:spacing w:after="40"/>
      </w:pPr>
      <w:r>
        <w:rPr>
          <w:b w:val="0"/>
          <w:i w:val="0"/>
          <w:sz w:val="18"/>
        </w:rPr>
        <w:t>Business Rules Engine (BRE) — Activa las tablas de decisión y Expression Sets utilizados en reglas de negocio personalizadas de TV Azteca.</w:t>
      </w:r>
    </w:p>
    <w:p>
      <w:pPr>
        <w:spacing w:before="140" w:after="80"/>
      </w:pPr>
      <w:r>
        <w:rPr>
          <w:b/>
          <w:i w:val="0"/>
          <w:color w:val="0070D2"/>
          <w:sz w:val="24"/>
        </w:rPr>
        <w:t>Quote Settings</w:t>
      </w:r>
    </w:p>
    <w:p>
      <w:pPr>
        <w:pStyle w:val="ListBullet"/>
        <w:spacing w:after="40"/>
      </w:pPr>
      <w:r>
        <w:rPr>
          <w:b w:val="0"/>
          <w:i w:val="0"/>
          <w:sz w:val="18"/>
        </w:rPr>
        <w:t>Enable Quotes — habilita el objeto Quote en el org</w:t>
      </w:r>
    </w:p>
    <w:p>
      <w:pPr>
        <w:pStyle w:val="ListBullet"/>
        <w:spacing w:after="40"/>
      </w:pPr>
      <w:r>
        <w:rPr>
          <w:b w:val="0"/>
          <w:i w:val="0"/>
          <w:sz w:val="18"/>
        </w:rPr>
        <w:t>Crear cotizaciones sin oportunidad relacionada — permite flexibilidad operativa</w:t>
      </w:r>
    </w:p>
    <w:p>
      <w:pPr>
        <w:pStyle w:val="ListBullet"/>
        <w:spacing w:after="40"/>
      </w:pPr>
      <w:r>
        <w:rPr>
          <w:b w:val="0"/>
          <w:i w:val="0"/>
          <w:sz w:val="18"/>
        </w:rPr>
        <w:t>Agregar Quotes a Page Layout de Opportunity — visibilidad del panel de cotizaciones</w:t>
      </w:r>
    </w:p>
    <w:p>
      <w:pPr>
        <w:spacing w:before="140" w:after="80"/>
      </w:pPr>
      <w:r>
        <w:rPr>
          <w:b/>
          <w:i w:val="0"/>
          <w:color w:val="0070D2"/>
          <w:sz w:val="24"/>
        </w:rPr>
        <w:t>Order Settings</w:t>
      </w:r>
    </w:p>
    <w:p>
      <w:pPr>
        <w:pStyle w:val="ListBullet"/>
        <w:spacing w:after="40"/>
      </w:pPr>
      <w:r>
        <w:rPr>
          <w:b w:val="0"/>
          <w:i w:val="0"/>
          <w:sz w:val="18"/>
        </w:rPr>
        <w:t>Enable Orders — habilita el objeto Order</w:t>
      </w:r>
    </w:p>
    <w:p>
      <w:pPr>
        <w:pStyle w:val="ListBullet"/>
        <w:spacing w:after="40"/>
      </w:pPr>
      <w:r>
        <w:rPr>
          <w:b w:val="0"/>
          <w:i w:val="0"/>
          <w:sz w:val="18"/>
        </w:rPr>
        <w:t>Enable Negative Quantity — necesario para ajustes y créditos</w:t>
      </w:r>
    </w:p>
    <w:p>
      <w:pPr>
        <w:pStyle w:val="ListBullet"/>
        <w:spacing w:after="40"/>
      </w:pPr>
      <w:r>
        <w:rPr>
          <w:b w:val="0"/>
          <w:i w:val="0"/>
          <w:sz w:val="18"/>
        </w:rPr>
        <w:t>Enable Zero Quantity — permite líneas de cortesía</w:t>
      </w:r>
    </w:p>
    <w:p>
      <w:pPr>
        <w:pStyle w:val="ListBullet"/>
        <w:spacing w:after="40"/>
      </w:pPr>
      <w:r>
        <w:rPr>
          <w:b w:val="0"/>
          <w:i w:val="0"/>
          <w:sz w:val="18"/>
        </w:rPr>
        <w:t>Enable Enhanced Commerce Orders — ver nota crítica</w:t>
      </w:r>
    </w:p>
    <w:tbl>
      <w:tblPr>
        <w:tblStyle w:val="TableGrid"/>
        <w:tblW w:type="auto" w:w="0"/>
        <w:tblLook w:firstColumn="1" w:firstRow="1" w:lastColumn="0" w:lastRow="0" w:noHBand="0" w:noVBand="1" w:val="04A0"/>
      </w:tblPr>
      <w:tblGrid>
        <w:gridCol w:w="9406"/>
      </w:tblGrid>
      <w:tr>
        <w:tc>
          <w:tcPr>
            <w:tcW w:type="dxa" w:w="9406"/>
            <w:shd w:val="clear" w:color="auto" w:fill="3A0000"/>
          </w:tcPr>
          <w:p>
            <w:r>
              <w:rPr>
                <w:color w:val="F09090"/>
                <w:sz w:val="18"/>
              </w:rPr>
              <w:t>Crítico — Enhanced Commerce Orders  Sin este setting habilitado, la línea de cotización no puede convertirse a Order correctamente. Su activación expone el campo Total Line Amount y hace opcional el campo Unit Price , ambos requeridos en el flujo de media plan.</w:t>
            </w:r>
          </w:p>
        </w:tc>
      </w:tr>
    </w:tbl>
    <w:p>
      <w:pPr>
        <w:spacing w:after="80"/>
      </w:pPr>
    </w:p>
    <w:p>
      <w:pPr>
        <w:spacing w:before="140" w:after="80"/>
      </w:pPr>
      <w:r>
        <w:rPr>
          <w:b/>
          <w:i w:val="0"/>
          <w:color w:val="0070D2"/>
          <w:sz w:val="24"/>
        </w:rPr>
        <w:t>2.6 Habilitar Agentforce Revenue Management</w:t>
      </w:r>
    </w:p>
    <w:p>
      <w:pPr>
        <w:spacing w:before="40" w:after="80"/>
      </w:pPr>
      <w:r>
        <w:rPr>
          <w:b w:val="0"/>
          <w:i w:val="0"/>
          <w:color w:val="555577"/>
          <w:sz w:val="20"/>
        </w:rPr>
        <w:t>Configuraciones adicionales requeridas en Revenue Cloud Settings. Imágenes de referencia del entorno de configuración:</w:t>
      </w:r>
    </w:p>
    <w:p>
      <w:pPr>
        <w:spacing w:before="40" w:after="80"/>
      </w:pPr>
      <w:r>
        <w:rPr>
          <w:b w:val="0"/>
          <w:i w:val="0"/>
          <w:color w:val="555577"/>
          <w:sz w:val="20"/>
        </w:rPr>
        <w:t>Valores de listas de selección que deben existir en el org antes de activar flujos de cotización: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Objeto</w:t>
            </w:r>
          </w:p>
        </w:tc>
        <w:tc>
          <w:tcPr>
            <w:tcW w:type="dxa" w:w="3135"/>
            <w:shd w:val="clear" w:color="auto" w:fill="002060"/>
          </w:tcPr>
          <w:p>
            <w:r>
              <w:rPr>
                <w:b/>
                <w:color w:val="FFFFFF"/>
                <w:sz w:val="18"/>
              </w:rPr>
              <w:t>Campo</w:t>
            </w:r>
          </w:p>
        </w:tc>
        <w:tc>
          <w:tcPr>
            <w:tcW w:type="dxa" w:w="3135"/>
            <w:shd w:val="clear" w:color="auto" w:fill="002060"/>
          </w:tcPr>
          <w:p>
            <w:r>
              <w:rPr>
                <w:b/>
                <w:color w:val="FFFFFF"/>
                <w:sz w:val="18"/>
              </w:rPr>
              <w:t>Valores requeridos</w:t>
            </w:r>
          </w:p>
        </w:tc>
      </w:tr>
      <w:tr>
        <w:tc>
          <w:tcPr>
            <w:tcW w:type="dxa" w:w="3135"/>
          </w:tcPr>
          <w:p>
            <w:r>
              <w:rPr>
                <w:sz w:val="18"/>
              </w:rPr>
              <w:t>Ad Opportunity</w:t>
            </w:r>
          </w:p>
        </w:tc>
        <w:tc>
          <w:tcPr>
            <w:tcW w:type="dxa" w:w="3135"/>
          </w:tcPr>
          <w:p>
            <w:r>
              <w:rPr>
                <w:sz w:val="18"/>
              </w:rPr>
              <w:t>Campaign Strategy</w:t>
            </w:r>
          </w:p>
        </w:tc>
        <w:tc>
          <w:tcPr>
            <w:tcW w:type="dxa" w:w="3135"/>
          </w:tcPr>
          <w:p>
            <w:r>
              <w:rPr>
                <w:sz w:val="18"/>
              </w:rPr>
              <w:t>Brand Awareness, Conversion</w:t>
            </w:r>
          </w:p>
        </w:tc>
      </w:tr>
      <w:tr>
        <w:tc>
          <w:tcPr>
            <w:tcW w:type="dxa" w:w="3135"/>
          </w:tcPr>
          <w:p>
            <w:r>
              <w:rPr>
                <w:sz w:val="18"/>
              </w:rPr>
              <w:t>Ad Server Account</w:t>
            </w:r>
          </w:p>
        </w:tc>
        <w:tc>
          <w:tcPr>
            <w:tcW w:type="dxa" w:w="3135"/>
          </w:tcPr>
          <w:p>
            <w:r>
              <w:rPr>
                <w:sz w:val="18"/>
              </w:rPr>
              <w:t>Account Type</w:t>
            </w:r>
          </w:p>
        </w:tc>
        <w:tc>
          <w:tcPr>
            <w:tcW w:type="dxa" w:w="3135"/>
          </w:tcPr>
          <w:p>
            <w:r>
              <w:rPr>
                <w:sz w:val="18"/>
              </w:rPr>
              <w:t>Media Buyer, Distributor</w:t>
            </w:r>
          </w:p>
        </w:tc>
      </w:tr>
      <w:tr>
        <w:tc>
          <w:tcPr>
            <w:tcW w:type="dxa" w:w="3135"/>
          </w:tcPr>
          <w:p>
            <w:r>
              <w:rPr>
                <w:sz w:val="18"/>
              </w:rPr>
              <w:t>Product</w:t>
            </w:r>
          </w:p>
        </w:tc>
        <w:tc>
          <w:tcPr>
            <w:tcW w:type="dxa" w:w="3135"/>
          </w:tcPr>
          <w:p>
            <w:r>
              <w:rPr>
                <w:sz w:val="18"/>
              </w:rPr>
              <w:t>Product Family</w:t>
            </w:r>
          </w:p>
        </w:tc>
        <w:tc>
          <w:tcPr>
            <w:tcW w:type="dxa" w:w="3135"/>
          </w:tcPr>
          <w:p>
            <w:r>
              <w:rPr>
                <w:sz w:val="18"/>
              </w:rPr>
              <w:t>Digital</w:t>
            </w:r>
          </w:p>
        </w:tc>
      </w:tr>
      <w:tr>
        <w:tc>
          <w:tcPr>
            <w:tcW w:type="dxa" w:w="3135"/>
          </w:tcPr>
          <w:p>
            <w:r>
              <w:rPr>
                <w:sz w:val="18"/>
              </w:rPr>
              <w:t>Ad Quote</w:t>
            </w:r>
          </w:p>
        </w:tc>
        <w:tc>
          <w:tcPr>
            <w:tcW w:type="dxa" w:w="3135"/>
          </w:tcPr>
          <w:p>
            <w:r>
              <w:rPr>
                <w:sz w:val="18"/>
              </w:rPr>
              <w:t>Media Type</w:t>
            </w:r>
          </w:p>
        </w:tc>
        <w:tc>
          <w:tcPr>
            <w:tcW w:type="dxa" w:w="3135"/>
          </w:tcPr>
          <w:p>
            <w:r>
              <w:rPr>
                <w:sz w:val="18"/>
              </w:rPr>
              <w:t>Digital</w:t>
            </w:r>
          </w:p>
        </w:tc>
      </w:tr>
      <w:tr>
        <w:tc>
          <w:tcPr>
            <w:tcW w:type="dxa" w:w="3135"/>
          </w:tcPr>
          <w:p>
            <w:r>
              <w:rPr>
                <w:sz w:val="18"/>
              </w:rPr>
              <w:t>Ad Quote Line</w:t>
            </w:r>
          </w:p>
        </w:tc>
        <w:tc>
          <w:tcPr>
            <w:tcW w:type="dxa" w:w="3135"/>
          </w:tcPr>
          <w:p>
            <w:r>
              <w:rPr>
                <w:sz w:val="18"/>
              </w:rPr>
              <w:t>Pricing Model</w:t>
            </w:r>
          </w:p>
        </w:tc>
        <w:tc>
          <w:tcPr>
            <w:tcW w:type="dxa" w:w="3135"/>
          </w:tcPr>
          <w:p>
            <w:r>
              <w:rPr>
                <w:sz w:val="18"/>
              </w:rPr>
              <w:t>CPC, CPM</w:t>
            </w:r>
          </w:p>
        </w:tc>
      </w:tr>
      <w:tr>
        <w:tc>
          <w:tcPr>
            <w:tcW w:type="dxa" w:w="3135"/>
          </w:tcPr>
          <w:p>
            <w:r>
              <w:rPr>
                <w:sz w:val="18"/>
              </w:rPr>
              <w:t>Ad Quote Line</w:t>
            </w:r>
          </w:p>
        </w:tc>
        <w:tc>
          <w:tcPr>
            <w:tcW w:type="dxa" w:w="3135"/>
          </w:tcPr>
          <w:p>
            <w:r>
              <w:rPr>
                <w:sz w:val="18"/>
              </w:rPr>
              <w:t>Sponsorship Type</w:t>
            </w:r>
          </w:p>
        </w:tc>
        <w:tc>
          <w:tcPr>
            <w:tcW w:type="dxa" w:w="3135"/>
          </w:tcPr>
          <w:p>
            <w:r>
              <w:rPr>
                <w:sz w:val="18"/>
              </w:rPr>
              <w:t>Standard, Sponsorship, Network, Preferred</w:t>
            </w:r>
          </w:p>
        </w:tc>
      </w:tr>
      <w:tr>
        <w:tc>
          <w:tcPr>
            <w:tcW w:type="dxa" w:w="3135"/>
          </w:tcPr>
          <w:p>
            <w:r>
              <w:rPr>
                <w:sz w:val="18"/>
              </w:rPr>
              <w:t>Ad Quote Line</w:t>
            </w:r>
          </w:p>
        </w:tc>
        <w:tc>
          <w:tcPr>
            <w:tcW w:type="dxa" w:w="3135"/>
          </w:tcPr>
          <w:p>
            <w:r>
              <w:rPr>
                <w:sz w:val="18"/>
              </w:rPr>
              <w:t>Delivery Frequency</w:t>
            </w:r>
          </w:p>
        </w:tc>
        <w:tc>
          <w:tcPr>
            <w:tcW w:type="dxa" w:w="3135"/>
          </w:tcPr>
          <w:p>
            <w:r>
              <w:rPr>
                <w:sz w:val="18"/>
              </w:rPr>
              <w:t>Frontloaded, Evenly, As fast as possible</w:t>
            </w:r>
          </w:p>
        </w:tc>
      </w:tr>
      <w:tr>
        <w:tc>
          <w:tcPr>
            <w:tcW w:type="dxa" w:w="3135"/>
          </w:tcPr>
          <w:p>
            <w:r>
              <w:rPr>
                <w:sz w:val="18"/>
              </w:rPr>
              <w:t>Ad Quote Line</w:t>
            </w:r>
          </w:p>
        </w:tc>
        <w:tc>
          <w:tcPr>
            <w:tcW w:type="dxa" w:w="3135"/>
          </w:tcPr>
          <w:p>
            <w:r>
              <w:rPr>
                <w:sz w:val="18"/>
              </w:rPr>
              <w:t>Delivery Period Unit</w:t>
            </w:r>
          </w:p>
        </w:tc>
        <w:tc>
          <w:tcPr>
            <w:tcW w:type="dxa" w:w="3135"/>
          </w:tcPr>
          <w:p>
            <w:r>
              <w:rPr>
                <w:sz w:val="18"/>
              </w:rPr>
              <w:t>Hours, Days, Weeks, Months</w:t>
            </w:r>
          </w:p>
        </w:tc>
      </w:tr>
      <w:tr>
        <w:tc>
          <w:tcPr>
            <w:tcW w:type="dxa" w:w="3135"/>
          </w:tcPr>
          <w:p>
            <w:r>
              <w:rPr>
                <w:sz w:val="18"/>
              </w:rPr>
              <w:t>Ad Quote Line Schedule</w:t>
            </w:r>
          </w:p>
        </w:tc>
        <w:tc>
          <w:tcPr>
            <w:tcW w:type="dxa" w:w="3135"/>
          </w:tcPr>
          <w:p>
            <w:r>
              <w:rPr>
                <w:sz w:val="18"/>
              </w:rPr>
              <w:t>Delivery Days</w:t>
            </w:r>
          </w:p>
        </w:tc>
        <w:tc>
          <w:tcPr>
            <w:tcW w:type="dxa" w:w="3135"/>
          </w:tcPr>
          <w:p>
            <w:r>
              <w:rPr>
                <w:sz w:val="18"/>
              </w:rPr>
              <w:t>Sunday, Monday, Tuesday, Wednesday, Thursday, Friday, Saturday</w:t>
            </w:r>
          </w:p>
        </w:tc>
      </w:tr>
    </w:tbl>
    <w:p>
      <w:pPr>
        <w:spacing w:after="80"/>
      </w:pPr>
    </w:p>
    <w:p>
      <w:pPr>
        <w:pStyle w:val="ListBullet"/>
        <w:spacing w:after="40"/>
      </w:pPr>
      <w:r>
        <w:rPr>
          <w:b w:val="0"/>
          <w:i w:val="0"/>
          <w:sz w:val="18"/>
        </w:rPr>
        <w:t>Ad Space Creative Size Type: Price Adjustment Type, Price Adjustment Value, Rank</w:t>
      </w:r>
    </w:p>
    <w:p>
      <w:pPr>
        <w:pStyle w:val="ListBullet"/>
        <w:spacing w:after="40"/>
      </w:pPr>
      <w:r>
        <w:rPr>
          <w:b w:val="0"/>
          <w:i w:val="0"/>
          <w:sz w:val="18"/>
        </w:rPr>
        <w:t>Ad Space Spec Product: Price Adjustment Type, Price Adjustment Value, Rank</w:t>
      </w:r>
    </w:p>
    <w:p>
      <w:pPr>
        <w:pStyle w:val="ListBullet"/>
        <w:spacing w:after="40"/>
      </w:pPr>
      <w:r>
        <w:rPr>
          <w:b w:val="0"/>
          <w:i w:val="0"/>
          <w:sz w:val="18"/>
        </w:rPr>
        <w:t>Ad Target Segment Value: Price Adjustment Type, Price Adjustment Value, Rank</w:t>
      </w:r>
    </w:p>
    <w:p>
      <w:pPr>
        <w:spacing w:before="140" w:after="80"/>
      </w:pPr>
      <w:r>
        <w:rPr>
          <w:b/>
          <w:i w:val="0"/>
          <w:color w:val="0070D2"/>
          <w:sz w:val="24"/>
        </w:rPr>
        <w:t>2.7 Registros de objetos requeridos</w:t>
      </w:r>
    </w:p>
    <w:p>
      <w:pPr>
        <w:spacing w:before="40" w:after="80"/>
      </w:pPr>
      <w:r>
        <w:rPr>
          <w:b w:val="0"/>
          <w:i w:val="0"/>
          <w:color w:val="555577"/>
          <w:sz w:val="20"/>
        </w:rPr>
        <w:t>Registros base que deben crearse en el org antes de iniciar el flujo de cotización. Las propuestas y media plans se representan como Quotes en Salesforce; los admins deben crear los Sales Transaction Types y Attribute Definitions correspondientes.</w:t>
      </w:r>
    </w:p>
    <w:p>
      <w:pPr>
        <w:spacing w:before="240" w:after="80"/>
      </w:pPr>
      <w:r>
        <w:rPr>
          <w:b/>
          <w:i w:val="0"/>
          <w:color w:val="002060"/>
          <w:sz w:val="28"/>
        </w:rPr>
        <w:t>§ 4  PCM Inicial — Product Catalog Management</w:t>
      </w:r>
    </w:p>
    <w:p>
      <w:pPr>
        <w:spacing w:before="40" w:after="80"/>
      </w:pPr>
      <w:r>
        <w:rPr>
          <w:b w:val="0"/>
          <w:i w:val="0"/>
          <w:color w:val="555577"/>
          <w:sz w:val="20"/>
        </w:rPr>
        <w:t>Configuración del catálogo de productos digitales. El PCM es la capa de configuración que define qué se vende, cómo se presenta y cómo se tarifica en el flujo de Media Plan.</w:t>
      </w:r>
    </w:p>
    <w:p>
      <w:pPr>
        <w:spacing w:before="140" w:after="80"/>
      </w:pPr>
      <w:r>
        <w:rPr>
          <w:b/>
          <w:i w:val="0"/>
          <w:color w:val="0070D2"/>
          <w:sz w:val="24"/>
        </w:rPr>
        <w:t>3.1 Estructura del Catálogo</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w:t>
            </w:r>
          </w:p>
        </w:tc>
        <w:tc>
          <w:tcPr>
            <w:tcW w:type="dxa" w:w="4703"/>
            <w:shd w:val="clear" w:color="auto" w:fill="002060"/>
          </w:tcPr>
          <w:p>
            <w:r>
              <w:rPr>
                <w:b/>
                <w:color w:val="FFFFFF"/>
                <w:sz w:val="18"/>
              </w:rPr>
              <w:t>Valor</w:t>
            </w:r>
          </w:p>
        </w:tc>
      </w:tr>
      <w:tr>
        <w:tc>
          <w:tcPr>
            <w:tcW w:type="dxa" w:w="4703"/>
          </w:tcPr>
          <w:p>
            <w:r>
              <w:rPr>
                <w:sz w:val="18"/>
              </w:rPr>
              <w:t>Catalog Name</w:t>
            </w:r>
          </w:p>
        </w:tc>
        <w:tc>
          <w:tcPr>
            <w:tcW w:type="dxa" w:w="4703"/>
          </w:tcPr>
          <w:p>
            <w:r>
              <w:rPr>
                <w:sz w:val="18"/>
              </w:rPr>
              <w:t>Catálogo Digital TV Azteca</w:t>
            </w:r>
          </w:p>
        </w:tc>
      </w:tr>
      <w:tr>
        <w:tc>
          <w:tcPr>
            <w:tcW w:type="dxa" w:w="4703"/>
          </w:tcPr>
          <w:p>
            <w:r>
              <w:rPr>
                <w:sz w:val="18"/>
              </w:rPr>
              <w:t>Categorías</w:t>
            </w:r>
          </w:p>
        </w:tc>
        <w:tc>
          <w:tcPr>
            <w:tcW w:type="dxa" w:w="4703"/>
          </w:tcPr>
          <w:p>
            <w:r>
              <w:rPr>
                <w:sz w:val="18"/>
              </w:rPr>
              <w:t>Streaming, Digital Display, Patrocinio, Servicios</w:t>
            </w:r>
          </w:p>
        </w:tc>
      </w:tr>
      <w:tr>
        <w:tc>
          <w:tcPr>
            <w:tcW w:type="dxa" w:w="4703"/>
          </w:tcPr>
          <w:p>
            <w:r>
              <w:rPr>
                <w:sz w:val="18"/>
              </w:rPr>
              <w:t>Scope inicial</w:t>
            </w:r>
          </w:p>
        </w:tc>
        <w:tc>
          <w:tcPr>
            <w:tcW w:type="dxa" w:w="4703"/>
          </w:tcPr>
          <w:p>
            <w:r>
              <w:rPr>
                <w:sz w:val="18"/>
              </w:rPr>
              <w:t>Base catalog — productos de lanzamiento</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001A3A"/>
          </w:tcPr>
          <w:p>
            <w:r>
              <w:rPr>
                <w:color w:val="90B8F8"/>
                <w:sz w:val="18"/>
              </w:rPr>
              <w:t>Alcance Sprint 1  El catálogo inicial cubre los productos digitales necesarios para activar el primer flujo de Create Media Plan. Los productos adicionales se incorporan en sprints posteriores conforme se valida el modelo de precios.</w:t>
            </w:r>
          </w:p>
        </w:tc>
      </w:tr>
    </w:tbl>
    <w:p>
      <w:pPr>
        <w:spacing w:after="80"/>
      </w:pPr>
    </w:p>
    <w:p>
      <w:pPr>
        <w:spacing w:before="140" w:after="80"/>
      </w:pPr>
      <w:r>
        <w:rPr>
          <w:b/>
          <w:i w:val="0"/>
          <w:color w:val="0070D2"/>
          <w:sz w:val="24"/>
        </w:rPr>
        <w:t>3.2 Modelo de 3 Capas</w:t>
      </w:r>
    </w:p>
    <w:p>
      <w:pPr>
        <w:spacing w:before="40" w:after="80"/>
      </w:pPr>
      <w:r>
        <w:rPr>
          <w:b w:val="0"/>
          <w:i w:val="0"/>
          <w:color w:val="555577"/>
          <w:sz w:val="20"/>
        </w:rPr>
        <w:t>El PCM opera con un modelo de tres capas. Las tres deben estar correctamente configuradas para que un producto sea visible, cotizable y orquestable en el flujo de ventas.</w:t>
      </w:r>
    </w:p>
    <w:p>
      <w:pPr>
        <w:spacing w:after="40"/>
      </w:pPr>
      <w:r>
        <w:rPr>
          <w:b/>
          <w:i w:val="0"/>
          <w:color w:val="0070D2"/>
          <w:sz w:val="20"/>
        </w:rPr>
        <w:t>Capa 1  PCM Comercial  (¿QUÉ se vende?)</w:t>
      </w:r>
    </w:p>
    <w:p>
      <w:pPr>
        <w:spacing w:before="40" w:after="80"/>
        <w:ind w:left="283"/>
      </w:pPr>
      <w:r>
        <w:rPr>
          <w:b w:val="0"/>
          <w:i w:val="0"/>
          <w:color w:val="7EC8A0"/>
          <w:sz w:val="18"/>
        </w:rPr>
        <w:t>Product Catalog  ProductCategory  Product2  ProductSellingModel  PricebookEntry  ProductAttributeDefinition</w:t>
      </w:r>
    </w:p>
    <w:p>
      <w:pPr>
        <w:spacing w:before="40" w:after="80"/>
        <w:ind w:left="283"/>
      </w:pPr>
      <w:r>
        <w:rPr>
          <w:b w:val="0"/>
          <w:i w:val="0"/>
          <w:color w:val="555577"/>
          <w:sz w:val="18"/>
        </w:rPr>
        <w:t>Selling Models: • Term-Based (CPM) — vigencia definida, prorrateo automático mid-cycle • One-Time (FIJO) — pago único, sin prorrateo</w:t>
      </w:r>
    </w:p>
    <w:p>
      <w:pPr>
        <w:spacing w:after="40"/>
      </w:pPr>
      <w:r>
        <w:rPr>
          <w:b/>
          <w:i w:val="0"/>
          <w:color w:val="0070D2"/>
          <w:sz w:val="20"/>
        </w:rPr>
        <w:t>Capa 2  Ad Specification  (¿DÓNDE y CÓMO?)</w:t>
      </w:r>
    </w:p>
    <w:p>
      <w:pPr>
        <w:spacing w:before="40" w:after="80"/>
        <w:ind w:left="283"/>
      </w:pPr>
      <w:r>
        <w:rPr>
          <w:b w:val="0"/>
          <w:i w:val="0"/>
          <w:color w:val="7EC8A0"/>
          <w:sz w:val="18"/>
        </w:rPr>
        <w:t>MediaChannel  AdSpaceSpecification  AdCreativeSizeType  AdSpaceSpecProduct</w:t>
      </w:r>
    </w:p>
    <w:p>
      <w:pPr>
        <w:spacing w:before="40" w:after="80"/>
        <w:ind w:left="283"/>
      </w:pPr>
      <w:r>
        <w:rPr>
          <w:b w:val="0"/>
          <w:i w:val="0"/>
          <w:color w:val="555577"/>
          <w:sz w:val="18"/>
        </w:rPr>
        <w:t>Nomenclatura: [Canal] - [AdSpaceType] - [Dispositivo] Ejemplo: "TV Azteca Uno - Pre-roll - Desktop"</w:t>
      </w:r>
    </w:p>
    <w:p>
      <w:pPr>
        <w:spacing w:after="40"/>
      </w:pPr>
      <w:r>
        <w:rPr>
          <w:b/>
          <w:i w:val="0"/>
          <w:color w:val="0070D2"/>
          <w:sz w:val="20"/>
        </w:rPr>
        <w:t>Capa 3  Targeting  (¿A QUIÉN?)</w:t>
      </w:r>
    </w:p>
    <w:p>
      <w:pPr>
        <w:spacing w:before="40" w:after="80"/>
        <w:ind w:left="283"/>
      </w:pPr>
      <w:r>
        <w:rPr>
          <w:b w:val="0"/>
          <w:i w:val="0"/>
          <w:color w:val="7EC8A0"/>
          <w:sz w:val="18"/>
        </w:rPr>
        <w:t>AdTargetCategory  AdTargetCategorySegment  AdTargetSegmentValue  AdAvailableTargetSegment  AdAvailableTargetSegmentValue</w:t>
      </w:r>
    </w:p>
    <w:p>
      <w:pPr>
        <w:spacing w:before="40" w:after="80"/>
        <w:ind w:left="283"/>
      </w:pPr>
      <w:r>
        <w:rPr>
          <w:b w:val="0"/>
          <w:i w:val="0"/>
          <w:color w:val="555577"/>
          <w:sz w:val="18"/>
        </w:rPr>
        <w:t>Cascading: Campo DependantSegmentValueId en AdTargetSegmentValue permite valores de segmento dependientes (cascada). Regla de visibilidad: Un producto debe cumplir las 3 capas completas para ser visible, cotizable y orquestable.</w:t>
      </w:r>
    </w:p>
    <w:p>
      <w:pPr>
        <w:spacing w:before="140" w:after="80"/>
      </w:pPr>
      <w:r>
        <w:rPr>
          <w:b/>
          <w:i w:val="0"/>
          <w:color w:val="0070D2"/>
          <w:sz w:val="24"/>
        </w:rPr>
        <w:t>3.3 Campos Requeridos en Product2</w:t>
      </w:r>
    </w:p>
    <w:p>
      <w:pPr>
        <w:spacing w:before="40" w:after="80"/>
      </w:pPr>
      <w:r>
        <w:rPr>
          <w:b w:val="0"/>
          <w:i w:val="0"/>
          <w:color w:val="555577"/>
          <w:sz w:val="20"/>
        </w:rPr>
        <w:t>Todos los campos listados deben estar correctamente configurados. Un campo faltante o con valor incorrecto genera fallos silenciosos en la UI o errores en el motor de precios.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Campo</w:t>
            </w:r>
          </w:p>
        </w:tc>
        <w:tc>
          <w:tcPr>
            <w:tcW w:type="dxa" w:w="3135"/>
            <w:shd w:val="clear" w:color="auto" w:fill="002060"/>
          </w:tcPr>
          <w:p>
            <w:r>
              <w:rPr>
                <w:b/>
                <w:color w:val="FFFFFF"/>
                <w:sz w:val="18"/>
              </w:rPr>
              <w:t>Valor requerido</w:t>
            </w:r>
          </w:p>
        </w:tc>
        <w:tc>
          <w:tcPr>
            <w:tcW w:type="dxa" w:w="3135"/>
            <w:shd w:val="clear" w:color="auto" w:fill="002060"/>
          </w:tcPr>
          <w:p>
            <w:r>
              <w:rPr>
                <w:b/>
                <w:color w:val="FFFFFF"/>
                <w:sz w:val="18"/>
              </w:rPr>
              <w:t>Impacto si falta / es incorrecto</w:t>
            </w:r>
          </w:p>
        </w:tc>
      </w:tr>
      <w:tr>
        <w:tc>
          <w:tcPr>
            <w:tcW w:type="dxa" w:w="3135"/>
          </w:tcPr>
          <w:p>
            <w:r>
              <w:rPr>
                <w:sz w:val="18"/>
              </w:rPr>
              <w:t>IsActive</w:t>
            </w:r>
          </w:p>
        </w:tc>
        <w:tc>
          <w:tcPr>
            <w:tcW w:type="dxa" w:w="3135"/>
          </w:tcPr>
          <w:p>
            <w:r>
              <w:rPr>
                <w:sz w:val="18"/>
              </w:rPr>
              <w:t>true</w:t>
            </w:r>
          </w:p>
        </w:tc>
        <w:tc>
          <w:tcPr>
            <w:tcW w:type="dxa" w:w="3135"/>
          </w:tcPr>
          <w:p>
            <w:r>
              <w:rPr>
                <w:sz w:val="18"/>
              </w:rPr>
              <w:t>No aparece en Browse Product Catalog</w:t>
            </w:r>
          </w:p>
        </w:tc>
      </w:tr>
      <w:tr>
        <w:tc>
          <w:tcPr>
            <w:tcW w:type="dxa" w:w="3135"/>
          </w:tcPr>
          <w:p>
            <w:r>
              <w:rPr>
                <w:sz w:val="18"/>
              </w:rPr>
              <w:t>ConfigureDuringSale</w:t>
            </w:r>
          </w:p>
        </w:tc>
        <w:tc>
          <w:tcPr>
            <w:tcW w:type="dxa" w:w="3135"/>
          </w:tcPr>
          <w:p>
            <w:r>
              <w:rPr>
                <w:sz w:val="18"/>
              </w:rPr>
              <w:t>Allowed</w:t>
            </w:r>
          </w:p>
        </w:tc>
        <w:tc>
          <w:tcPr>
            <w:tcW w:type="dxa" w:w="3135"/>
          </w:tcPr>
          <w:p>
            <w:r>
              <w:rPr>
                <w:sz w:val="18"/>
              </w:rPr>
              <w:t>No configurable en Line Item Configuration panel</w:t>
            </w:r>
          </w:p>
        </w:tc>
      </w:tr>
      <w:tr>
        <w:tc>
          <w:tcPr>
            <w:tcW w:type="dxa" w:w="3135"/>
          </w:tcPr>
          <w:p>
            <w:r>
              <w:rPr>
                <w:sz w:val="18"/>
              </w:rPr>
              <w:t>CanUseRevenueSchedule</w:t>
            </w:r>
          </w:p>
        </w:tc>
        <w:tc>
          <w:tcPr>
            <w:tcW w:type="dxa" w:w="3135"/>
          </w:tcPr>
          <w:p>
            <w:r>
              <w:rPr>
                <w:sz w:val="18"/>
              </w:rPr>
              <w:t>true</w:t>
            </w:r>
          </w:p>
        </w:tc>
        <w:tc>
          <w:tcPr>
            <w:tcW w:type="dxa" w:w="3135"/>
          </w:tcPr>
          <w:p>
            <w:r>
              <w:rPr>
                <w:sz w:val="18"/>
              </w:rPr>
              <w:t>Sin prorrateo automático en Term-Based</w:t>
            </w:r>
          </w:p>
        </w:tc>
      </w:tr>
      <w:tr>
        <w:tc>
          <w:tcPr>
            <w:tcW w:type="dxa" w:w="3135"/>
          </w:tcPr>
          <w:p>
            <w:r>
              <w:rPr>
                <w:sz w:val="18"/>
              </w:rPr>
              <w:t>ProductPurpose</w:t>
            </w:r>
          </w:p>
        </w:tc>
        <w:tc>
          <w:tcPr>
            <w:tcW w:type="dxa" w:w="3135"/>
          </w:tcPr>
          <w:p>
            <w:r>
              <w:rPr>
                <w:sz w:val="18"/>
              </w:rPr>
              <w:t>Sell</w:t>
            </w:r>
          </w:p>
        </w:tc>
        <w:tc>
          <w:tcPr>
            <w:tcW w:type="dxa" w:w="3135"/>
          </w:tcPr>
          <w:p>
            <w:r>
              <w:rPr>
                <w:sz w:val="18"/>
              </w:rPr>
              <w:t>No reconocido por motor de precios</w:t>
            </w:r>
          </w:p>
        </w:tc>
      </w:tr>
      <w:tr>
        <w:tc>
          <w:tcPr>
            <w:tcW w:type="dxa" w:w="3135"/>
          </w:tcPr>
          <w:p>
            <w:r>
              <w:rPr>
                <w:sz w:val="18"/>
              </w:rPr>
              <w:t>ProductSellingModel</w:t>
            </w:r>
          </w:p>
        </w:tc>
        <w:tc>
          <w:tcPr>
            <w:tcW w:type="dxa" w:w="3135"/>
          </w:tcPr>
          <w:p>
            <w:r>
              <w:rPr>
                <w:sz w:val="18"/>
              </w:rPr>
              <w:t>Term-Based / One-Time</w:t>
            </w:r>
          </w:p>
        </w:tc>
        <w:tc>
          <w:tcPr>
            <w:tcW w:type="dxa" w:w="3135"/>
          </w:tcPr>
          <w:p>
            <w:r>
              <w:rPr>
                <w:sz w:val="18"/>
              </w:rPr>
              <w:t>Sin modelo de venta no se asocia PricebookEntry</w:t>
            </w:r>
          </w:p>
        </w:tc>
      </w:tr>
    </w:tbl>
    <w:p>
      <w:pPr>
        <w:spacing w:after="80"/>
      </w:pPr>
    </w:p>
    <w:p>
      <w:pPr>
        <w:spacing w:before="140" w:after="80"/>
      </w:pPr>
      <w:r>
        <w:rPr>
          <w:b/>
          <w:i w:val="0"/>
          <w:color w:val="0070D2"/>
          <w:sz w:val="24"/>
        </w:rPr>
        <w:t>3.4 Pricing Models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Modelo</w:t>
            </w:r>
          </w:p>
        </w:tc>
        <w:tc>
          <w:tcPr>
            <w:tcW w:type="dxa" w:w="3135"/>
            <w:shd w:val="clear" w:color="auto" w:fill="002060"/>
          </w:tcPr>
          <w:p>
            <w:r>
              <w:rPr>
                <w:b/>
                <w:color w:val="FFFFFF"/>
                <w:sz w:val="18"/>
              </w:rPr>
              <w:t>Fórmula</w:t>
            </w:r>
          </w:p>
        </w:tc>
        <w:tc>
          <w:tcPr>
            <w:tcW w:type="dxa" w:w="3135"/>
            <w:shd w:val="clear" w:color="auto" w:fill="002060"/>
          </w:tcPr>
          <w:p>
            <w:r>
              <w:rPr>
                <w:b/>
                <w:color w:val="FFFFFF"/>
                <w:sz w:val="18"/>
              </w:rPr>
              <w:t>Selling Model</w:t>
            </w:r>
          </w:p>
        </w:tc>
      </w:tr>
      <w:tr>
        <w:tc>
          <w:tcPr>
            <w:tcW w:type="dxa" w:w="3135"/>
          </w:tcPr>
          <w:p>
            <w:r>
              <w:rPr>
                <w:sz w:val="18"/>
              </w:rPr>
              <w:t>CPM</w:t>
            </w:r>
          </w:p>
        </w:tc>
        <w:tc>
          <w:tcPr>
            <w:tcW w:type="dxa" w:w="3135"/>
          </w:tcPr>
          <w:p>
            <w:r>
              <w:rPr>
                <w:sz w:val="18"/>
              </w:rPr>
              <w:t>Precio × (Impresiones / 1,000)</w:t>
            </w:r>
          </w:p>
        </w:tc>
        <w:tc>
          <w:tcPr>
            <w:tcW w:type="dxa" w:w="3135"/>
          </w:tcPr>
          <w:p>
            <w:r>
              <w:rPr>
                <w:sz w:val="18"/>
              </w:rPr>
              <w:t>Term-Based</w:t>
            </w:r>
          </w:p>
        </w:tc>
      </w:tr>
      <w:tr>
        <w:tc>
          <w:tcPr>
            <w:tcW w:type="dxa" w:w="3135"/>
          </w:tcPr>
          <w:p>
            <w:r>
              <w:rPr>
                <w:sz w:val="18"/>
              </w:rPr>
              <w:t>CPC</w:t>
            </w:r>
          </w:p>
        </w:tc>
        <w:tc>
          <w:tcPr>
            <w:tcW w:type="dxa" w:w="3135"/>
          </w:tcPr>
          <w:p>
            <w:r>
              <w:rPr>
                <w:sz w:val="18"/>
              </w:rPr>
              <w:t>Precio × Número de clics</w:t>
            </w:r>
          </w:p>
        </w:tc>
        <w:tc>
          <w:tcPr>
            <w:tcW w:type="dxa" w:w="3135"/>
          </w:tcPr>
          <w:p>
            <w:r>
              <w:rPr>
                <w:sz w:val="18"/>
              </w:rPr>
              <w:t>Term-Based</w:t>
            </w:r>
          </w:p>
        </w:tc>
      </w:tr>
      <w:tr>
        <w:tc>
          <w:tcPr>
            <w:tcW w:type="dxa" w:w="3135"/>
          </w:tcPr>
          <w:p>
            <w:r>
              <w:rPr>
                <w:sz w:val="18"/>
              </w:rPr>
              <w:t>FIJO</w:t>
            </w:r>
          </w:p>
        </w:tc>
        <w:tc>
          <w:tcPr>
            <w:tcW w:type="dxa" w:w="3135"/>
          </w:tcPr>
          <w:p>
            <w:r>
              <w:rPr>
                <w:sz w:val="18"/>
              </w:rPr>
              <w:t>Tarifa plana (flat fee)</w:t>
            </w:r>
          </w:p>
        </w:tc>
        <w:tc>
          <w:tcPr>
            <w:tcW w:type="dxa" w:w="3135"/>
          </w:tcPr>
          <w:p>
            <w:r>
              <w:rPr>
                <w:sz w:val="18"/>
              </w:rPr>
              <w:t>One-Time</w:t>
            </w:r>
          </w:p>
        </w:tc>
      </w:tr>
    </w:tbl>
    <w:p>
      <w:pPr>
        <w:spacing w:after="80"/>
      </w:pPr>
    </w:p>
    <w:p>
      <w:pPr>
        <w:spacing w:before="240" w:after="80"/>
      </w:pPr>
      <w:r>
        <w:rPr>
          <w:b/>
          <w:i w:val="0"/>
          <w:color w:val="002060"/>
          <w:sz w:val="28"/>
        </w:rPr>
        <w:t>§ 5  Flujo Base Media Plan</w:t>
      </w:r>
    </w:p>
    <w:p>
      <w:pPr>
        <w:spacing w:before="40" w:after="80"/>
      </w:pPr>
      <w:r>
        <w:rPr>
          <w:b w:val="0"/>
          <w:i w:val="0"/>
          <w:color w:val="555577"/>
          <w:sz w:val="20"/>
        </w:rPr>
        <w:t>Configuración del flujo comercial completo desde la oportunidad hasta la creación de la orden firme. Cubre pricing procedure, transaction types y el proceso Quote to Order.</w:t>
      </w:r>
    </w:p>
    <w:p>
      <w:pPr>
        <w:spacing w:before="140" w:after="80"/>
      </w:pPr>
      <w:r>
        <w:rPr>
          <w:b/>
          <w:i w:val="0"/>
          <w:color w:val="0070D2"/>
          <w:sz w:val="24"/>
        </w:rPr>
        <w:t>5.1 Pricing Procedure</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Atributo</w:t>
            </w:r>
          </w:p>
        </w:tc>
        <w:tc>
          <w:tcPr>
            <w:tcW w:type="dxa" w:w="4703"/>
            <w:shd w:val="clear" w:color="auto" w:fill="002060"/>
          </w:tcPr>
          <w:p>
            <w:r>
              <w:rPr>
                <w:b/>
                <w:color w:val="FFFFFF"/>
                <w:sz w:val="18"/>
              </w:rPr>
              <w:t>Valor</w:t>
            </w:r>
          </w:p>
        </w:tc>
      </w:tr>
      <w:tr>
        <w:tc>
          <w:tcPr>
            <w:tcW w:type="dxa" w:w="4703"/>
          </w:tcPr>
          <w:p>
            <w:r>
              <w:rPr>
                <w:sz w:val="18"/>
              </w:rPr>
              <w:t>Name</w:t>
            </w:r>
          </w:p>
        </w:tc>
        <w:tc>
          <w:tcPr>
            <w:tcW w:type="dxa" w:w="4703"/>
          </w:tcPr>
          <w:p>
            <w:r>
              <w:rPr>
                <w:sz w:val="18"/>
              </w:rPr>
              <w:t>TVAM Ad Sales Pricing Procedure</w:t>
            </w:r>
          </w:p>
        </w:tc>
      </w:tr>
      <w:tr>
        <w:tc>
          <w:tcPr>
            <w:tcW w:type="dxa" w:w="4703"/>
          </w:tcPr>
          <w:p>
            <w:r>
              <w:rPr>
                <w:sz w:val="18"/>
              </w:rPr>
              <w:t>Context</w:t>
            </w:r>
          </w:p>
        </w:tc>
        <w:tc>
          <w:tcPr>
            <w:tcW w:type="dxa" w:w="4703"/>
          </w:tcPr>
          <w:p>
            <w:r>
              <w:rPr>
                <w:sz w:val="18"/>
              </w:rPr>
              <w:t>TVAM_MediaPlanTransactionCtx</w:t>
            </w:r>
          </w:p>
        </w:tc>
      </w:tr>
      <w:tr>
        <w:tc>
          <w:tcPr>
            <w:tcW w:type="dxa" w:w="4703"/>
          </w:tcPr>
          <w:p>
            <w:r>
              <w:rPr>
                <w:sz w:val="18"/>
              </w:rPr>
              <w:t>Proration</w:t>
            </w:r>
          </w:p>
        </w:tc>
        <w:tc>
          <w:tcPr>
            <w:tcW w:type="dxa" w:w="4703"/>
          </w:tcPr>
          <w:p>
            <w:r>
              <w:rPr>
                <w:sz w:val="18"/>
              </w:rPr>
              <w:t>Proration Settings activas</w:t>
            </w:r>
          </w:p>
        </w:tc>
      </w:tr>
    </w:tbl>
    <w:p>
      <w:pPr>
        <w:spacing w:after="80"/>
      </w:pPr>
    </w:p>
    <w:tbl>
      <w:tblPr>
        <w:tblStyle w:val="TableGrid"/>
        <w:tblW w:type="auto" w:w="0"/>
        <w:tblLook w:firstColumn="1" w:firstRow="1" w:lastColumn="0" w:lastRow="0" w:noHBand="0" w:noVBand="1" w:val="04A0"/>
      </w:tblPr>
      <w:tblGrid>
        <w:gridCol w:w="9406"/>
      </w:tblGrid>
      <w:tr>
        <w:tc>
          <w:tcPr>
            <w:tcW w:type="dxa" w:w="9406"/>
            <w:shd w:val="clear" w:color="auto" w:fill="001A3A"/>
          </w:tcPr>
          <w:p>
            <w:r>
              <w:rPr>
                <w:color w:val="90B8F8"/>
                <w:sz w:val="18"/>
              </w:rPr>
              <w:t>Proration Settings  Configuradas para habilitar el prorrateo mid-cycle automático en productos Term-Based. Cuando se activa o pausa una línea en mitad de un ciclo, el sistema calcula el monto proporcional sin intervención manual.</w:t>
            </w:r>
          </w:p>
        </w:tc>
      </w:tr>
    </w:tbl>
    <w:p>
      <w:pPr>
        <w:spacing w:after="80"/>
      </w:pPr>
    </w:p>
    <w:p>
      <w:pPr>
        <w:spacing w:before="140" w:after="80"/>
      </w:pPr>
      <w:r>
        <w:rPr>
          <w:b/>
          <w:i w:val="0"/>
          <w:color w:val="0070D2"/>
          <w:sz w:val="24"/>
        </w:rPr>
        <w:t>5.2 Sale Transaction Types</w:t>
      </w:r>
    </w:p>
    <w:p>
      <w:pPr>
        <w:spacing w:before="140" w:after="80"/>
      </w:pPr>
      <w:r>
        <w:rPr>
          <w:b/>
          <w:i w:val="0"/>
          <w:color w:val="0070D2"/>
          <w:sz w:val="24"/>
        </w:rPr>
        <w:t>5.3 Quote to Order — Flujo Completo</w:t>
      </w:r>
    </w:p>
    <w:p>
      <w:pPr>
        <w:pStyle w:val="ListNumber"/>
        <w:spacing w:after="40"/>
      </w:pPr>
      <w:r>
        <w:rPr>
          <w:b w:val="0"/>
          <w:i w:val="0"/>
          <w:sz w:val="18"/>
        </w:rPr>
        <w:t>1. Oportunidad (RFP) — Oportunidad (RFP) El vendedor abre la Opportunity y hace clic en el botón Create Media Plan . Este botón es habilitado por la Media Cloud Configuration.</w:t>
      </w:r>
    </w:p>
    <w:p>
      <w:pPr>
        <w:pStyle w:val="ListNumber"/>
        <w:spacing w:after="40"/>
      </w:pPr>
      <w:r>
        <w:rPr>
          <w:b w:val="0"/>
          <w:i w:val="0"/>
          <w:sz w:val="18"/>
        </w:rPr>
        <w:t>2. Modal Nuevo Plan — Modal Nuevo Plan Se ingresan: nombre del plan, Budget (ej: $1,000,000 ), Media Type → El sistema genera automáticamente un registro Quote ligado a la Opportunity.</w:t>
      </w:r>
    </w:p>
    <w:p>
      <w:pPr>
        <w:pStyle w:val="ListNumber"/>
        <w:spacing w:after="40"/>
      </w:pPr>
      <w:r>
        <w:rPr>
          <w:b w:val="0"/>
          <w:i w:val="0"/>
          <w:sz w:val="18"/>
        </w:rPr>
        <w:t>3. Quote Record Page — Media Planning Grid — Quote Record Page — Media Planning Grid La página del Quote carga el Media Planning Grid con los Ad Placements. Este es el espacio de trabajo principal del planificador.</w:t>
      </w:r>
    </w:p>
    <w:p>
      <w:pPr>
        <w:pStyle w:val="ListNumber"/>
        <w:spacing w:after="40"/>
      </w:pPr>
      <w:r>
        <w:rPr>
          <w:b w:val="0"/>
          <w:i w:val="0"/>
          <w:sz w:val="18"/>
        </w:rPr>
        <w:t>4. Add Placements — Add Placements El planificador selecciona el Standard Price Book y el tipo Digital para acceder al catálogo de productos PCM.</w:t>
      </w:r>
    </w:p>
    <w:p>
      <w:pPr>
        <w:pStyle w:val="ListNumber"/>
        <w:spacing w:after="40"/>
      </w:pPr>
      <w:r>
        <w:rPr>
          <w:b w:val="0"/>
          <w:i w:val="0"/>
          <w:sz w:val="18"/>
        </w:rPr>
        <w:t>5. Browse Products — Browse Products Se navega el catálogo PCM organizado por categorías. Al seleccionar un producto y guardar → el sistema genera un Ad Quote Line .</w:t>
      </w:r>
    </w:p>
    <w:p>
      <w:pPr>
        <w:pStyle w:val="ListNumber"/>
        <w:spacing w:after="40"/>
      </w:pPr>
      <w:r>
        <w:rPr>
          <w:b w:val="0"/>
          <w:i w:val="0"/>
          <w:sz w:val="18"/>
        </w:rPr>
        <w:t>6. Line Item Configuration — Line Item Configuration Panel de 3 pestañas: • Line Item — modelo de precio (CPC/CPM), importes, fechas • Delivery — frecuencia, días, distribución temporal • Targeting — segmentos de audiencia Instant Pricing recalcula en background sin guardar.</w:t>
      </w:r>
    </w:p>
    <w:p>
      <w:pPr>
        <w:pStyle w:val="ListNumber"/>
        <w:spacing w:after="40"/>
      </w:pPr>
      <w:r>
        <w:rPr>
          <w:b w:val="0"/>
          <w:i w:val="0"/>
          <w:sz w:val="18"/>
        </w:rPr>
        <w:t>7. Create Order — Create Order Invoca el flujo TVAM_ProcesarOrden . La Quote se convierte en Order firme e inicia el aprovisionamiento DRO. Requiere que la Quote esté en etapa Approved .</w:t>
      </w:r>
    </w:p>
    <w:p>
      <w:pPr>
        <w:spacing w:before="240" w:after="80"/>
      </w:pPr>
      <w:r>
        <w:rPr>
          <w:b/>
          <w:i w:val="0"/>
          <w:color w:val="002060"/>
          <w:sz w:val="28"/>
        </w:rPr>
        <w:t>§ 6  Demo — Configuraciones Pre-Requisito</w:t>
      </w:r>
    </w:p>
    <w:p>
      <w:pPr>
        <w:spacing w:before="40" w:after="80"/>
      </w:pPr>
      <w:r>
        <w:rPr>
          <w:b w:val="0"/>
          <w:i w:val="0"/>
          <w:color w:val="555577"/>
          <w:sz w:val="20"/>
        </w:rPr>
        <w:t>Continuación del recorrido en pantalla de las configuraciones base requeridas para activar el flujo de Media Plan en Salesforce.</w:t>
      </w:r>
    </w:p>
    <w:p>
      <w:pPr>
        <w:spacing w:before="240" w:after="80"/>
      </w:pPr>
      <w:r>
        <w:rPr>
          <w:b/>
          <w:i w:val="0"/>
          <w:color w:val="002060"/>
          <w:sz w:val="28"/>
        </w:rPr>
        <w:t>§ 7  User Stories — Resumen Sprint 1</w:t>
      </w:r>
    </w:p>
    <w:p>
      <w:pPr>
        <w:spacing w:before="40" w:after="80"/>
      </w:pPr>
      <w:r>
        <w:rPr>
          <w:b w:val="0"/>
          <w:i w:val="0"/>
          <w:color w:val="555577"/>
          <w:sz w:val="20"/>
        </w:rPr>
        <w:t>Historias de usuario entregadas en este sprint. Cada historia representa un bloque de configuración independiente pero interconectado.</w:t>
      </w:r>
    </w:p>
    <w:p>
      <w:pPr>
        <w:spacing w:after="40"/>
      </w:pPr>
      <w:r>
        <w:rPr>
          <w:b/>
          <w:i w:val="0"/>
          <w:color w:val="E8B84B"/>
          <w:sz w:val="18"/>
        </w:rPr>
        <w:t xml:space="preserve">PR1066114-120  </w:t>
      </w:r>
      <w:r>
        <w:rPr>
          <w:b/>
          <w:i w:val="0"/>
          <w:sz w:val="18"/>
        </w:rPr>
        <w:t>Configuraciones Generales — Revenue Settings habilitado</w:t>
      </w:r>
    </w:p>
    <w:p>
      <w:pPr>
        <w:spacing w:before="40" w:after="80"/>
        <w:ind w:left="283"/>
      </w:pPr>
      <w:r>
        <w:rPr>
          <w:b w:val="0"/>
          <w:i w:val="0"/>
          <w:color w:val="555577"/>
          <w:sz w:val="16"/>
        </w:rPr>
        <w:t>Activación de Revenue Cloud Features, Salesforce Pricing, Instant Pricing, Configure Products at Runtime y BRE. Habilita Quote Settings y Order Settings incluyendo Enhanced Commerce Orders.</w:t>
      </w:r>
    </w:p>
    <w:p>
      <w:pPr>
        <w:spacing w:after="40"/>
      </w:pPr>
      <w:r>
        <w:rPr>
          <w:b/>
          <w:i w:val="0"/>
          <w:color w:val="E8B84B"/>
          <w:sz w:val="18"/>
        </w:rPr>
        <w:t xml:space="preserve">PR1066114-69  </w:t>
      </w:r>
      <w:r>
        <w:rPr>
          <w:b/>
          <w:i w:val="0"/>
          <w:sz w:val="18"/>
        </w:rPr>
        <w:t>Configuraciones PCM — Catálogo inicial y Product2</w:t>
      </w:r>
    </w:p>
    <w:p>
      <w:pPr>
        <w:spacing w:before="40" w:after="80"/>
        <w:ind w:left="283"/>
      </w:pPr>
      <w:r>
        <w:rPr>
          <w:b w:val="0"/>
          <w:i w:val="0"/>
          <w:color w:val="555577"/>
          <w:sz w:val="16"/>
        </w:rPr>
        <w:t>Creación del Catálogo Digital TV Azteca con categorías y productos base. Configuración de campos requeridos en Product2: IsActive, ConfigureDuringSale, CanUseRevenueSchedule, ProductPurpose y ProductSellingModel.</w:t>
      </w:r>
    </w:p>
    <w:p>
      <w:pPr>
        <w:spacing w:after="40"/>
      </w:pPr>
      <w:r>
        <w:rPr>
          <w:b/>
          <w:i w:val="0"/>
          <w:color w:val="E8B84B"/>
          <w:sz w:val="18"/>
        </w:rPr>
        <w:t xml:space="preserve">PR1066114-76  </w:t>
      </w:r>
      <w:r>
        <w:rPr>
          <w:b/>
          <w:i w:val="0"/>
          <w:sz w:val="18"/>
        </w:rPr>
        <w:t>Configuraciones PCM — Price Book y entries</w:t>
      </w:r>
    </w:p>
    <w:p>
      <w:pPr>
        <w:spacing w:before="40" w:after="80"/>
        <w:ind w:left="283"/>
      </w:pPr>
      <w:r>
        <w:rPr>
          <w:b w:val="0"/>
          <w:i w:val="0"/>
          <w:color w:val="555577"/>
          <w:sz w:val="16"/>
        </w:rPr>
        <w:t>Configuración del Standard Price Book y creación de PricebookEntry para los productos del catálogo inicial. Asociación de modelos de precios CPM, CPC y FIJO.</w:t>
      </w:r>
    </w:p>
    <w:p>
      <w:pPr>
        <w:spacing w:after="40"/>
      </w:pPr>
      <w:r>
        <w:rPr>
          <w:b/>
          <w:i w:val="0"/>
          <w:color w:val="E8B84B"/>
          <w:sz w:val="18"/>
        </w:rPr>
        <w:t xml:space="preserve">PR1066114-88  </w:t>
      </w:r>
      <w:r>
        <w:rPr>
          <w:b/>
          <w:i w:val="0"/>
          <w:sz w:val="18"/>
        </w:rPr>
        <w:t>Configuraciones Flujo Media Plan — Create Media Plan button</w:t>
      </w:r>
    </w:p>
    <w:p>
      <w:pPr>
        <w:spacing w:before="40" w:after="80"/>
        <w:ind w:left="283"/>
      </w:pPr>
      <w:r>
        <w:rPr>
          <w:b w:val="0"/>
          <w:i w:val="0"/>
          <w:color w:val="555577"/>
          <w:sz w:val="16"/>
        </w:rPr>
        <w:t>Activación de Media Cloud Configuration para exponer el botón Create Media Plan en la Opportunity. Configuración de la Pricing Procedure TVAM Ad Sales y Sale Transaction Types.</w:t>
      </w:r>
    </w:p>
    <w:p>
      <w:pPr>
        <w:spacing w:after="40"/>
      </w:pPr>
      <w:r>
        <w:rPr>
          <w:b/>
          <w:i w:val="0"/>
          <w:color w:val="E8B84B"/>
          <w:sz w:val="18"/>
        </w:rPr>
        <w:t xml:space="preserve">PR1066114-99  </w:t>
      </w:r>
      <w:r>
        <w:rPr>
          <w:b/>
          <w:i w:val="0"/>
          <w:sz w:val="18"/>
        </w:rPr>
        <w:t>Configuraciones Flujo Media Plan — Quote stages y Create Order</w:t>
      </w:r>
    </w:p>
    <w:p>
      <w:pPr>
        <w:spacing w:before="40" w:after="80"/>
        <w:ind w:left="283"/>
      </w:pPr>
      <w:r>
        <w:rPr>
          <w:b w:val="0"/>
          <w:i w:val="0"/>
          <w:color w:val="555577"/>
          <w:sz w:val="16"/>
        </w:rPr>
        <w:t>Personalización de Quote Stages al flujo TV Azteca (Borrador → En Autorización → En Presentación → Aceptada / Denegada). Configuración del flujo Create Order mediante TVAM_ProcesarOrden.</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2060"/>
          </w:tcPr>
          <w:p>
            <w:pPr>
              <w:spacing w:before="280" w:after="80"/>
              <w:jc w:val="center"/>
            </w:pPr>
            <w:r>
              <w:rPr>
                <w:b/>
                <w:i w:val="0"/>
                <w:color w:val="E8B84B"/>
                <w:sz w:val="56"/>
              </w:rPr>
              <w:t>SPRINT  2</w:t>
            </w:r>
          </w:p>
          <w:p>
            <w:pPr>
              <w:spacing w:before="40" w:after="280"/>
              <w:jc w:val="center"/>
            </w:pPr>
            <w:r>
              <w:rPr>
                <w:b w:val="0"/>
                <w:i w:val="0"/>
                <w:color w:val="C0D4FF"/>
                <w:sz w:val="26"/>
              </w:rPr>
              <w:t>PCM Extendido y Line Item Configuration</w:t>
            </w:r>
          </w:p>
        </w:tc>
      </w:tr>
    </w:tbl>
    <w:p>
      <w:pPr>
        <w:spacing w:after="120"/>
      </w:pPr>
    </w:p>
    <w:p>
      <w:pPr>
        <w:spacing w:before="240" w:after="80"/>
      </w:pPr>
      <w:r>
        <w:rPr>
          <w:b/>
          <w:i w:val="0"/>
          <w:color w:val="002060"/>
          <w:sz w:val="36"/>
        </w:rPr>
        <w:t>PCM Extendido, Diseño de Campaña y Segmentación</w:t>
      </w:r>
    </w:p>
    <w:p>
      <w:pPr>
        <w:spacing w:before="40" w:after="80"/>
      </w:pPr>
      <w:r>
        <w:rPr>
          <w:b w:val="0"/>
          <w:i w:val="0"/>
          <w:color w:val="555577"/>
          <w:sz w:val="20"/>
        </w:rPr>
        <w:t>Media Channels, Line Item Configuration completa y Targeting de audiencias — configuración avanzada del catálogo, entrega de placements y segmentación geográfica y demográfica.</w:t>
      </w:r>
    </w:p>
    <w:p>
      <w:pPr>
        <w:spacing w:before="240" w:after="80"/>
      </w:pPr>
      <w:r>
        <w:rPr>
          <w:b/>
          <w:i w:val="0"/>
          <w:color w:val="002060"/>
          <w:sz w:val="28"/>
        </w:rPr>
        <w:t>PCM Extendido</w:t>
      </w:r>
    </w:p>
    <w:p>
      <w:pPr>
        <w:spacing w:before="40" w:after="80"/>
      </w:pPr>
      <w:r>
        <w:rPr>
          <w:b w:val="0"/>
          <w:i w:val="0"/>
          <w:color w:val="555577"/>
          <w:sz w:val="20"/>
        </w:rPr>
        <w:t>Cada Media Channel representa una propiedad editorial donde TV Azteca publica publicidad. La distinción entre canales Broadcast+Digital y canales puramente digitales determina las plataformas disponibles para la segmentación de entrega.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Nombre del Canal</w:t>
            </w:r>
          </w:p>
        </w:tc>
        <w:tc>
          <w:tcPr>
            <w:tcW w:type="dxa" w:w="3135"/>
            <w:shd w:val="clear" w:color="auto" w:fill="002060"/>
          </w:tcPr>
          <w:p>
            <w:r>
              <w:rPr>
                <w:b/>
                <w:color w:val="FFFFFF"/>
                <w:sz w:val="18"/>
              </w:rPr>
              <w:t>Tipo</w:t>
            </w:r>
          </w:p>
        </w:tc>
        <w:tc>
          <w:tcPr>
            <w:tcW w:type="dxa" w:w="3135"/>
            <w:shd w:val="clear" w:color="auto" w:fill="002060"/>
          </w:tcPr>
          <w:p>
            <w:r>
              <w:rPr>
                <w:b/>
                <w:color w:val="FFFFFF"/>
                <w:sz w:val="18"/>
              </w:rPr>
              <w:t>Plataformas</w:t>
            </w:r>
          </w:p>
        </w:tc>
      </w:tr>
      <w:tr>
        <w:tc>
          <w:tcPr>
            <w:tcW w:type="dxa" w:w="3135"/>
          </w:tcPr>
          <w:p>
            <w:r>
              <w:rPr>
                <w:sz w:val="18"/>
              </w:rPr>
              <w:t>TV Azteca Uno</w:t>
            </w:r>
          </w:p>
        </w:tc>
        <w:tc>
          <w:tcPr>
            <w:tcW w:type="dxa" w:w="3135"/>
          </w:tcPr>
          <w:p>
            <w:r>
              <w:rPr>
                <w:sz w:val="18"/>
              </w:rPr>
              <w:t>Broadcast + Digital</w:t>
            </w:r>
          </w:p>
        </w:tc>
        <w:tc>
          <w:tcPr>
            <w:tcW w:type="dxa" w:w="3135"/>
          </w:tcPr>
          <w:p>
            <w:r>
              <w:rPr>
                <w:sz w:val="18"/>
              </w:rPr>
              <w:t>Desktop, Mobile, CTV</w:t>
            </w:r>
          </w:p>
        </w:tc>
      </w:tr>
      <w:tr>
        <w:tc>
          <w:tcPr>
            <w:tcW w:type="dxa" w:w="3135"/>
          </w:tcPr>
          <w:p>
            <w:r>
              <w:rPr>
                <w:sz w:val="18"/>
              </w:rPr>
              <w:t>ADN40</w:t>
            </w:r>
          </w:p>
        </w:tc>
        <w:tc>
          <w:tcPr>
            <w:tcW w:type="dxa" w:w="3135"/>
          </w:tcPr>
          <w:p>
            <w:r>
              <w:rPr>
                <w:sz w:val="18"/>
              </w:rPr>
              <w:t>Broadcast + Digital</w:t>
            </w:r>
          </w:p>
        </w:tc>
        <w:tc>
          <w:tcPr>
            <w:tcW w:type="dxa" w:w="3135"/>
          </w:tcPr>
          <w:p>
            <w:r>
              <w:rPr>
                <w:sz w:val="18"/>
              </w:rPr>
              <w:t>Desktop, Mobile</w:t>
            </w:r>
          </w:p>
        </w:tc>
      </w:tr>
      <w:tr>
        <w:tc>
          <w:tcPr>
            <w:tcW w:type="dxa" w:w="3135"/>
          </w:tcPr>
          <w:p>
            <w:r>
              <w:rPr>
                <w:sz w:val="18"/>
              </w:rPr>
              <w:t>A+</w:t>
            </w:r>
          </w:p>
        </w:tc>
        <w:tc>
          <w:tcPr>
            <w:tcW w:type="dxa" w:w="3135"/>
          </w:tcPr>
          <w:p>
            <w:r>
              <w:rPr>
                <w:sz w:val="18"/>
              </w:rPr>
              <w:t>Digital</w:t>
            </w:r>
          </w:p>
        </w:tc>
        <w:tc>
          <w:tcPr>
            <w:tcW w:type="dxa" w:w="3135"/>
          </w:tcPr>
          <w:p>
            <w:r>
              <w:rPr>
                <w:sz w:val="18"/>
              </w:rPr>
              <w:t>Desktop, Mobile, CTV</w:t>
            </w:r>
          </w:p>
        </w:tc>
      </w:tr>
      <w:tr>
        <w:tc>
          <w:tcPr>
            <w:tcW w:type="dxa" w:w="3135"/>
          </w:tcPr>
          <w:p>
            <w:r>
              <w:rPr>
                <w:sz w:val="18"/>
              </w:rPr>
              <w:t>Canal 13</w:t>
            </w:r>
          </w:p>
        </w:tc>
        <w:tc>
          <w:tcPr>
            <w:tcW w:type="dxa" w:w="3135"/>
          </w:tcPr>
          <w:p>
            <w:r>
              <w:rPr>
                <w:sz w:val="18"/>
              </w:rPr>
              <w:t>Broadcast + Digital</w:t>
            </w:r>
          </w:p>
        </w:tc>
        <w:tc>
          <w:tcPr>
            <w:tcW w:type="dxa" w:w="3135"/>
          </w:tcPr>
          <w:p>
            <w:r>
              <w:rPr>
                <w:sz w:val="18"/>
              </w:rPr>
              <w:t>Desktop, Mobile</w:t>
            </w:r>
          </w:p>
        </w:tc>
      </w:tr>
      <w:tr>
        <w:tc>
          <w:tcPr>
            <w:tcW w:type="dxa" w:w="3135"/>
          </w:tcPr>
          <w:p>
            <w:r>
              <w:rPr>
                <w:sz w:val="18"/>
              </w:rPr>
              <w:t>Azteca 7</w:t>
            </w:r>
          </w:p>
        </w:tc>
        <w:tc>
          <w:tcPr>
            <w:tcW w:type="dxa" w:w="3135"/>
          </w:tcPr>
          <w:p>
            <w:r>
              <w:rPr>
                <w:sz w:val="18"/>
              </w:rPr>
              <w:t>Broadcast + Digital</w:t>
            </w:r>
          </w:p>
        </w:tc>
        <w:tc>
          <w:tcPr>
            <w:tcW w:type="dxa" w:w="3135"/>
          </w:tcPr>
          <w:p>
            <w:r>
              <w:rPr>
                <w:sz w:val="18"/>
              </w:rPr>
              <w:t>Desktop, Mobile</w:t>
            </w:r>
          </w:p>
        </w:tc>
      </w:tr>
      <w:tr>
        <w:tc>
          <w:tcPr>
            <w:tcW w:type="dxa" w:w="3135"/>
          </w:tcPr>
          <w:p>
            <w:r>
              <w:rPr>
                <w:sz w:val="18"/>
              </w:rPr>
              <w:t>UnoTV</w:t>
            </w:r>
          </w:p>
        </w:tc>
        <w:tc>
          <w:tcPr>
            <w:tcW w:type="dxa" w:w="3135"/>
          </w:tcPr>
          <w:p>
            <w:r>
              <w:rPr>
                <w:sz w:val="18"/>
              </w:rPr>
              <w:t>Digital News</w:t>
            </w:r>
          </w:p>
        </w:tc>
        <w:tc>
          <w:tcPr>
            <w:tcW w:type="dxa" w:w="3135"/>
          </w:tcPr>
          <w:p>
            <w:r>
              <w:rPr>
                <w:sz w:val="18"/>
              </w:rPr>
              <w:t>Desktop, Mobile</w:t>
            </w:r>
          </w:p>
        </w:tc>
      </w:tr>
      <w:tr>
        <w:tc>
          <w:tcPr>
            <w:tcW w:type="dxa" w:w="3135"/>
          </w:tcPr>
          <w:p>
            <w:r>
              <w:rPr>
                <w:sz w:val="18"/>
              </w:rPr>
              <w:t>ClaroSports</w:t>
            </w:r>
          </w:p>
        </w:tc>
        <w:tc>
          <w:tcPr>
            <w:tcW w:type="dxa" w:w="3135"/>
          </w:tcPr>
          <w:p>
            <w:r>
              <w:rPr>
                <w:sz w:val="18"/>
              </w:rPr>
              <w:t>Sports Streaming</w:t>
            </w:r>
          </w:p>
        </w:tc>
        <w:tc>
          <w:tcPr>
            <w:tcW w:type="dxa" w:w="3135"/>
          </w:tcPr>
          <w:p>
            <w:r>
              <w:rPr>
                <w:sz w:val="18"/>
              </w:rPr>
              <w:t>Desktop, Mobile, CTV</w:t>
            </w:r>
          </w:p>
        </w:tc>
      </w:tr>
      <w:tr>
        <w:tc>
          <w:tcPr>
            <w:tcW w:type="dxa" w:w="3135"/>
          </w:tcPr>
          <w:p>
            <w:r>
              <w:rPr>
                <w:sz w:val="18"/>
              </w:rPr>
              <w:t>Tubi</w:t>
            </w:r>
          </w:p>
        </w:tc>
        <w:tc>
          <w:tcPr>
            <w:tcW w:type="dxa" w:w="3135"/>
          </w:tcPr>
          <w:p>
            <w:r>
              <w:rPr>
                <w:sz w:val="18"/>
              </w:rPr>
              <w:t>AVOD Streaming</w:t>
            </w:r>
          </w:p>
        </w:tc>
        <w:tc>
          <w:tcPr>
            <w:tcW w:type="dxa" w:w="3135"/>
          </w:tcPr>
          <w:p>
            <w:r>
              <w:rPr>
                <w:sz w:val="18"/>
              </w:rPr>
              <w:t>CTV, Desktop, Mobile</w:t>
            </w:r>
          </w:p>
        </w:tc>
      </w:tr>
      <w:tr>
        <w:tc>
          <w:tcPr>
            <w:tcW w:type="dxa" w:w="3135"/>
          </w:tcPr>
          <w:p>
            <w:r>
              <w:rPr>
                <w:sz w:val="18"/>
              </w:rPr>
              <w:t>Pluto TV</w:t>
            </w:r>
          </w:p>
        </w:tc>
        <w:tc>
          <w:tcPr>
            <w:tcW w:type="dxa" w:w="3135"/>
          </w:tcPr>
          <w:p>
            <w:r>
              <w:rPr>
                <w:sz w:val="18"/>
              </w:rPr>
              <w:t>FAST Streaming</w:t>
            </w:r>
          </w:p>
        </w:tc>
        <w:tc>
          <w:tcPr>
            <w:tcW w:type="dxa" w:w="3135"/>
          </w:tcPr>
          <w:p>
            <w:r>
              <w:rPr>
                <w:sz w:val="18"/>
              </w:rPr>
              <w:t>CTV, Desktop</w:t>
            </w:r>
          </w:p>
        </w:tc>
      </w:tr>
    </w:tbl>
    <w:p>
      <w:pPr>
        <w:spacing w:after="80"/>
      </w:pPr>
    </w:p>
    <w:p>
      <w:pPr>
        <w:spacing w:before="40" w:after="80"/>
      </w:pPr>
      <w:r>
        <w:rPr>
          <w:b w:val="0"/>
          <w:i w:val="0"/>
          <w:color w:val="555577"/>
          <w:sz w:val="20"/>
        </w:rPr>
        <w:t>AdSpaceSpecification — representa una ubicación publicitaria concreta dentro de un Media Channel. Cada Ad Space Spec tiene un canal, tipo de espacio, dispositivo y su conexión con GAM.</w:t>
      </w:r>
    </w:p>
    <w:p>
      <w:pPr>
        <w:spacing w:before="40" w:after="80"/>
      </w:pPr>
      <w:r>
        <w:rPr>
          <w:b w:val="0"/>
          <w:i w:val="0"/>
          <w:color w:val="555577"/>
          <w:sz w:val="20"/>
        </w:rPr>
        <w:t>AdServerId en AdSpaceSpecification es OBLIGATORIO. Sin él el componente Ad Placement genera error en runtime al cargar el Media Plan. El Media Planner no podrá seleccionar el espacio publicitario en el Line Item Configuration.</w:t>
      </w:r>
    </w:p>
    <w:p>
      <w:pPr>
        <w:spacing w:before="40" w:after="80"/>
      </w:pPr>
      <w:r>
        <w:rPr>
          <w:b w:val="0"/>
          <w:i w:val="0"/>
          <w:color w:val="555577"/>
          <w:sz w:val="20"/>
        </w:rPr>
        <w:t>El campo AdServerId mapea esta Ad Space Specification con el inventario correspondiente en Google Ad Manager (GAM). Es el vínculo técnico que permite al DRO aprovisionar el placement correctamente.</w:t>
      </w:r>
    </w:p>
    <w:p>
      <w:pPr>
        <w:spacing w:after="80"/>
        <w:ind w:left="283"/>
      </w:pPr>
      <w:r>
        <w:rPr>
          <w:rFonts w:ascii="Courier New" w:hAnsi="Courier New"/>
          <w:b w:val="0"/>
          <w:i w:val="0"/>
          <w:color w:val="4080C0"/>
          <w:sz w:val="16"/>
        </w:rPr>
        <w:t>Nomenclatura: [Canal] - [AdSpaceType] - [Dispositivo] Ejemplo: TV Azteca Uno - Pre-roll - Desktop ADN40 - Banner 300x250 - Mobile A+ - Skin - Desktop</w:t>
      </w:r>
    </w:p>
    <w:p>
      <w:pPr>
        <w:pStyle w:val="ListBullet"/>
        <w:spacing w:after="40"/>
      </w:pPr>
      <w:r>
        <w:rPr>
          <w:b w:val="0"/>
          <w:i w:val="0"/>
          <w:sz w:val="18"/>
        </w:rPr>
        <w:t>AdServerId Obligatorio. Mapea con GAM. Sin este campo el Ad Placement falla en runtime.</w:t>
      </w:r>
    </w:p>
    <w:p>
      <w:pPr>
        <w:pStyle w:val="ListBullet"/>
        <w:spacing w:after="40"/>
      </w:pPr>
      <w:r>
        <w:rPr>
          <w:b w:val="0"/>
          <w:i w:val="0"/>
          <w:sz w:val="18"/>
        </w:rPr>
        <w:t>Media Channel Lookup al canal propietario del espacio publicitario.</w:t>
      </w:r>
    </w:p>
    <w:p>
      <w:pPr>
        <w:pStyle w:val="ListBullet"/>
        <w:spacing w:after="40"/>
      </w:pPr>
      <w:r>
        <w:rPr>
          <w:b w:val="0"/>
          <w:i w:val="0"/>
          <w:sz w:val="18"/>
        </w:rPr>
        <w:t>Ad Space Type Tipo de formato (Pre-roll, Banner, Skin, etc.).</w:t>
      </w:r>
    </w:p>
    <w:p>
      <w:pPr>
        <w:pStyle w:val="ListBullet"/>
        <w:spacing w:after="40"/>
      </w:pPr>
      <w:r>
        <w:rPr>
          <w:b w:val="0"/>
          <w:i w:val="0"/>
          <w:sz w:val="18"/>
        </w:rPr>
        <w:t>Device Desktop, Mobile, CTV.</w:t>
      </w:r>
    </w:p>
    <w:p>
      <w:pPr>
        <w:spacing w:before="40" w:after="80"/>
      </w:pPr>
      <w:r>
        <w:rPr>
          <w:b w:val="0"/>
          <w:i w:val="0"/>
          <w:color w:val="555577"/>
          <w:sz w:val="20"/>
        </w:rPr>
        <w:t>Los Ad Creative Size Types definen los formatos de creatividad que pueden entregarse en los espacios publicitarios de TV Azteca. Cada formato está disponible como atributo seleccionable en la Line Item Configuration.</w:t>
      </w:r>
    </w:p>
    <w:p>
      <w:pPr>
        <w:spacing w:before="40" w:after="80"/>
      </w:pPr>
      <w:r>
        <w:rPr>
          <w:b w:val="0"/>
          <w:i w:val="0"/>
          <w:color w:val="555577"/>
          <w:sz w:val="20"/>
        </w:rPr>
        <w:t>Sin Ad Space Spec Product, el producto NO aparece en Ad Placement aunque el PCM esté completamente configurado. Este objeto es el vínculo obligatorio que habilita el producto en el selector de espacios del Media Plan Builder.</w:t>
      </w:r>
    </w:p>
    <w:p>
      <w:pPr>
        <w:spacing w:before="40" w:after="80"/>
      </w:pPr>
      <w:r>
        <w:rPr>
          <w:b w:val="0"/>
          <w:i w:val="0"/>
          <w:color w:val="555577"/>
          <w:sz w:val="20"/>
        </w:rPr>
        <w:t>AdSpaceSpecProduct — objeto de unión que vincula AdSpaceSpecification con Product2 . Sin este registro el sistema no sabe qué producto puede entregarse en qué espacio.</w:t>
      </w:r>
    </w:p>
    <w:p>
      <w:pPr>
        <w:spacing w:before="40" w:after="80"/>
      </w:pPr>
      <w:r>
        <w:rPr>
          <w:b w:val="0"/>
          <w:i w:val="0"/>
          <w:color w:val="555577"/>
          <w:sz w:val="20"/>
        </w:rPr>
        <w:t>Adicionalmente, este objeto aloja los campos de ajuste de precio específicos por espacio-producto, permitiendo diferencias de tarifa por canal o formato sin modificar el Price Book base.</w:t>
      </w:r>
    </w:p>
    <w:p>
      <w:pPr>
        <w:pStyle w:val="ListBullet"/>
        <w:spacing w:after="40"/>
      </w:pPr>
      <w:r>
        <w:rPr>
          <w:b w:val="0"/>
          <w:i w:val="0"/>
          <w:sz w:val="18"/>
        </w:rPr>
        <w:t>AdSpaceSpecificationId Lookup al espacio publicitario.</w:t>
      </w:r>
    </w:p>
    <w:p>
      <w:pPr>
        <w:pStyle w:val="ListBullet"/>
        <w:spacing w:after="40"/>
      </w:pPr>
      <w:r>
        <w:rPr>
          <w:b w:val="0"/>
          <w:i w:val="0"/>
          <w:sz w:val="18"/>
        </w:rPr>
        <w:t>ProductId Lookup al producto del catálogo (Product2).</w:t>
      </w:r>
    </w:p>
    <w:p>
      <w:pPr>
        <w:pStyle w:val="ListBullet"/>
        <w:spacing w:after="40"/>
      </w:pPr>
      <w:r>
        <w:rPr>
          <w:b w:val="0"/>
          <w:i w:val="0"/>
          <w:sz w:val="18"/>
        </w:rPr>
        <w:t>Price Adjustment Type Tipo de ajuste de precio: Amount, Percent, Override.</w:t>
      </w:r>
    </w:p>
    <w:p>
      <w:pPr>
        <w:pStyle w:val="ListBullet"/>
        <w:spacing w:after="40"/>
      </w:pPr>
      <w:r>
        <w:rPr>
          <w:b w:val="0"/>
          <w:i w:val="0"/>
          <w:sz w:val="18"/>
        </w:rPr>
        <w:t>Price Adjustment Value Valor del ajuste aplicable en el Line Item.</w:t>
      </w:r>
    </w:p>
    <w:p>
      <w:pPr>
        <w:pStyle w:val="ListBullet"/>
        <w:spacing w:after="40"/>
      </w:pPr>
      <w:r>
        <w:rPr>
          <w:b w:val="0"/>
          <w:i w:val="0"/>
          <w:sz w:val="18"/>
        </w:rPr>
        <w:t>Rank Orden de prioridad cuando múltiples reglas aplican.</w:t>
      </w:r>
    </w:p>
    <w:p>
      <w:pPr>
        <w:spacing w:before="40" w:after="80"/>
      </w:pPr>
      <w:r>
        <w:rPr>
          <w:b w:val="0"/>
          <w:i w:val="0"/>
          <w:color w:val="555577"/>
          <w:sz w:val="20"/>
        </w:rPr>
        <w:t>Para que un producto sea seleccionable en el Media Plan Builder deben existir los tres registros en cadena:</w:t>
      </w:r>
    </w:p>
    <w:p>
      <w:pPr>
        <w:spacing w:before="240" w:after="80"/>
      </w:pPr>
      <w:r>
        <w:rPr>
          <w:b/>
          <w:i w:val="0"/>
          <w:color w:val="002060"/>
          <w:sz w:val="28"/>
        </w:rPr>
        <w:t>Diseño de Campaña — Line Item Configuration</w:t>
      </w:r>
    </w:p>
    <w:p>
      <w:pPr>
        <w:spacing w:before="40" w:after="80"/>
      </w:pPr>
      <w:r>
        <w:rPr>
          <w:b w:val="0"/>
          <w:i w:val="0"/>
          <w:color w:val="555577"/>
          <w:sz w:val="20"/>
        </w:rPr>
        <w:t>La pestaña principal define los parámetros económicos y temporales del placement. El motor de precios calcula el Total Amount automáticamente a partir del Pricing Model, Unit Price y Quantity.</w:t>
      </w:r>
    </w:p>
    <w:p>
      <w:pPr>
        <w:pStyle w:val="ListBullet"/>
        <w:spacing w:after="40"/>
      </w:pPr>
      <w:r>
        <w:rPr>
          <w:b w:val="0"/>
          <w:i w:val="0"/>
          <w:sz w:val="18"/>
        </w:rPr>
        <w:t>Pricing Model CPC o CPM (picklist). Determina el modelo de cobro del placement.</w:t>
      </w:r>
    </w:p>
    <w:p>
      <w:pPr>
        <w:pStyle w:val="ListBullet"/>
        <w:spacing w:after="40"/>
      </w:pPr>
      <w:r>
        <w:rPr>
          <w:b w:val="0"/>
          <w:i w:val="0"/>
          <w:sz w:val="18"/>
        </w:rPr>
        <w:t>Unit Price Tarifa base del producto. Obtenida del Price Book, modificable en el Line Item.</w:t>
      </w:r>
    </w:p>
    <w:p>
      <w:pPr>
        <w:pStyle w:val="ListBullet"/>
        <w:spacing w:after="40"/>
      </w:pPr>
      <w:r>
        <w:rPr>
          <w:b w:val="0"/>
          <w:i w:val="0"/>
          <w:sz w:val="18"/>
        </w:rPr>
        <w:t>Quantity Impresiones (CPM) o clics (CPC) comprometidos en el placement.</w:t>
      </w:r>
    </w:p>
    <w:p>
      <w:pPr>
        <w:pStyle w:val="ListBullet"/>
        <w:spacing w:after="40"/>
      </w:pPr>
      <w:r>
        <w:rPr>
          <w:b w:val="0"/>
          <w:i w:val="0"/>
          <w:sz w:val="18"/>
        </w:rPr>
        <w:t>Total Amount Calculado automáticamente: Unit Price × Quantity / 1000 (CPM) o × Quantity (CPC).</w:t>
      </w:r>
    </w:p>
    <w:p>
      <w:pPr>
        <w:pStyle w:val="ListBullet"/>
        <w:spacing w:after="40"/>
      </w:pPr>
      <w:r>
        <w:rPr>
          <w:b w:val="0"/>
          <w:i w:val="0"/>
          <w:sz w:val="18"/>
        </w:rPr>
        <w:t>Start Date Fecha de inicio del placement en el Media Plan.</w:t>
      </w:r>
    </w:p>
    <w:p>
      <w:pPr>
        <w:pStyle w:val="ListBullet"/>
        <w:spacing w:after="40"/>
      </w:pPr>
      <w:r>
        <w:rPr>
          <w:b w:val="0"/>
          <w:i w:val="0"/>
          <w:sz w:val="18"/>
        </w:rPr>
        <w:t>End Date Fecha de fin del placement. Define el período de vuelo.</w:t>
      </w:r>
    </w:p>
    <w:p>
      <w:pPr>
        <w:pStyle w:val="ListBullet"/>
        <w:spacing w:after="40"/>
      </w:pPr>
      <w:r>
        <w:rPr>
          <w:b w:val="0"/>
          <w:i w:val="0"/>
          <w:sz w:val="18"/>
        </w:rPr>
        <w:t>Sponsorship Type Standard, Sponsorship, Network o Preferred. Afecta prioridad en GAM.</w:t>
      </w:r>
    </w:p>
    <w:p>
      <w:pPr>
        <w:pStyle w:val="ListBullet"/>
        <w:spacing w:after="40"/>
      </w:pPr>
      <w:r>
        <w:rPr>
          <w:b w:val="0"/>
          <w:i w:val="0"/>
          <w:sz w:val="18"/>
        </w:rPr>
        <w:t>Instant Pricing Recalcula el precio en background sin necesidad de guardar el registro.</w:t>
      </w:r>
    </w:p>
    <w:p>
      <w:pPr>
        <w:spacing w:before="40" w:after="80"/>
      </w:pPr>
      <w:r>
        <w:rPr>
          <w:b w:val="0"/>
          <w:i w:val="0"/>
          <w:color w:val="555577"/>
          <w:sz w:val="20"/>
        </w:rPr>
        <w:t>Al modificar Unit Price o Quantity, el Total Amount se recalcula en tiempo real en background. No es necesario guardar para ver el impacto económico del cambio.</w:t>
      </w:r>
    </w:p>
    <w:p>
      <w:pPr>
        <w:spacing w:before="40" w:after="80"/>
      </w:pPr>
      <w:r>
        <w:rPr>
          <w:b w:val="0"/>
          <w:i w:val="0"/>
          <w:color w:val="555577"/>
          <w:sz w:val="20"/>
        </w:rPr>
        <w:t>La pestaña Targeting expone una interfaz jerárquica para seleccionar los criterios de segmentación de cada placement. La disponibilidad de categorías y valores depende de los junction objects configurados por producto.</w:t>
      </w:r>
    </w:p>
    <w:p>
      <w:pPr>
        <w:spacing w:before="40" w:after="80"/>
      </w:pPr>
      <w:r>
        <w:rPr>
          <w:b w:val="0"/>
          <w:i w:val="0"/>
          <w:color w:val="555577"/>
          <w:sz w:val="20"/>
        </w:rPr>
        <w:t>Tres categorías principales habilitadas para los productos de TV Azteca:</w:t>
      </w:r>
    </w:p>
    <w:p>
      <w:pPr>
        <w:spacing w:before="40" w:after="80"/>
      </w:pPr>
      <w:r>
        <w:rPr>
          <w:b w:val="0"/>
          <w:i w:val="0"/>
          <w:color w:val="555577"/>
          <w:sz w:val="20"/>
        </w:rPr>
        <w:t>Para que los criterios de targeting aparezcan en el Line Item Configuration, cada producto debe tener configurados sus junction objects:</w:t>
      </w:r>
    </w:p>
    <w:p>
      <w:pPr>
        <w:pStyle w:val="ListBullet"/>
        <w:spacing w:after="40"/>
      </w:pPr>
      <w:r>
        <w:rPr>
          <w:b w:val="0"/>
          <w:i w:val="0"/>
          <w:sz w:val="18"/>
        </w:rPr>
        <w:t>AdAvailableTargetSegment — habilita el segmento para el producto</w:t>
      </w:r>
    </w:p>
    <w:p>
      <w:pPr>
        <w:pStyle w:val="ListBullet"/>
        <w:spacing w:after="40"/>
      </w:pPr>
      <w:r>
        <w:rPr>
          <w:b w:val="0"/>
          <w:i w:val="0"/>
          <w:sz w:val="18"/>
        </w:rPr>
        <w:t>AdAvailableTargetSegmentValue — habilita el valor específico</w:t>
      </w:r>
    </w:p>
    <w:p>
      <w:pPr>
        <w:spacing w:before="40" w:after="80"/>
      </w:pPr>
      <w:r>
        <w:rPr>
          <w:b w:val="0"/>
          <w:i w:val="0"/>
          <w:color w:val="555577"/>
          <w:sz w:val="20"/>
        </w:rPr>
        <w:t>El objeto que almacena la selección del Media Planner es Ad Quote Line Target Value — un registro por criterio seleccionado en el targeting del placement.</w:t>
      </w:r>
    </w:p>
    <w:p>
      <w:pPr>
        <w:spacing w:before="40" w:after="80"/>
      </w:pPr>
      <w:r>
        <w:rPr>
          <w:b w:val="0"/>
          <w:i w:val="0"/>
          <w:color w:val="555577"/>
          <w:sz w:val="20"/>
        </w:rPr>
        <w:t>La segmentación opera sobre una jerarquía de 3 niveles — desde la categoría general hasta el valor concreto seleccionable. Esta estructura es independiente por producto.</w:t>
      </w:r>
    </w:p>
    <w:p>
      <w:pPr>
        <w:spacing w:before="40" w:after="80"/>
      </w:pPr>
      <w:r>
        <w:rPr>
          <w:b w:val="0"/>
          <w:i w:val="0"/>
          <w:color w:val="555577"/>
          <w:sz w:val="20"/>
        </w:rPr>
        <w:t>Dimensiones dentro de cada categoría:</w:t>
      </w:r>
    </w:p>
    <w:p>
      <w:pPr>
        <w:spacing w:before="40" w:after="80"/>
      </w:pPr>
      <w:r>
        <w:rPr>
          <w:b w:val="0"/>
          <w:i w:val="0"/>
          <w:color w:val="555577"/>
          <w:sz w:val="20"/>
        </w:rPr>
        <w:t>Valores concretos seleccionables:</w:t>
      </w:r>
    </w:p>
    <w:p>
      <w:pPr>
        <w:spacing w:before="40" w:after="80"/>
      </w:pPr>
      <w:r>
        <w:rPr>
          <w:b w:val="0"/>
          <w:i w:val="0"/>
          <w:color w:val="555577"/>
          <w:sz w:val="20"/>
        </w:rPr>
        <w:t>Los 32 estados de México están configurados en AdTargetSegmentValue bajo la categoría Geografía. Los 12 canales GAM de TV Azteca están configurados bajo Unidades de Anuncio.</w:t>
      </w:r>
    </w:p>
    <w:p>
      <w:pPr>
        <w:spacing w:before="40" w:after="80"/>
      </w:pPr>
      <w:r>
        <w:rPr>
          <w:b w:val="0"/>
          <w:i w:val="0"/>
          <w:color w:val="555577"/>
          <w:sz w:val="20"/>
        </w:rPr>
        <w:t>El targeting no es global — cada producto tiene su propio conjunto de segmentos disponibles. Los junction objects son los que hacen visible el targeting en la pestaña de la Line Item Configuration para cada producto específico.</w:t>
      </w:r>
    </w:p>
    <w:p>
      <w:pPr>
        <w:spacing w:before="40" w:after="80"/>
      </w:pPr>
      <w:r>
        <w:rPr>
          <w:b w:val="0"/>
          <w:i w:val="0"/>
          <w:color w:val="555577"/>
          <w:sz w:val="20"/>
        </w:rPr>
        <w:t>Cada producto debe tener sus junction objects configurados individualmente para que el targeting aparezca en Line Item Configuration. Un producto sin junction objects muestra el panel de targeting vacío , incluso si los valores de segmento existen globalmente en el org.</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Junction Object</w:t>
            </w:r>
          </w:p>
        </w:tc>
        <w:tc>
          <w:tcPr>
            <w:tcW w:type="dxa" w:w="3135"/>
            <w:shd w:val="clear" w:color="auto" w:fill="002060"/>
          </w:tcPr>
          <w:p>
            <w:r>
              <w:rPr>
                <w:b/>
                <w:color w:val="FFFFFF"/>
                <w:sz w:val="18"/>
              </w:rPr>
              <w:t>Propósito</w:t>
            </w:r>
          </w:p>
        </w:tc>
        <w:tc>
          <w:tcPr>
            <w:tcW w:type="dxa" w:w="3135"/>
            <w:shd w:val="clear" w:color="auto" w:fill="002060"/>
          </w:tcPr>
          <w:p>
            <w:r>
              <w:rPr>
                <w:b/>
                <w:color w:val="FFFFFF"/>
                <w:sz w:val="18"/>
              </w:rPr>
              <w:t>Relaciones</w:t>
            </w:r>
          </w:p>
        </w:tc>
      </w:tr>
      <w:tr>
        <w:tc>
          <w:tcPr>
            <w:tcW w:type="dxa" w:w="3135"/>
          </w:tcPr>
          <w:p>
            <w:r>
              <w:rPr>
                <w:sz w:val="18"/>
              </w:rPr>
              <w:t>AdAvailableTargetSegment</w:t>
            </w:r>
          </w:p>
        </w:tc>
        <w:tc>
          <w:tcPr>
            <w:tcW w:type="dxa" w:w="3135"/>
          </w:tcPr>
          <w:p>
            <w:r>
              <w:rPr>
                <w:sz w:val="18"/>
              </w:rPr>
              <w:t>Habilita un segmento para el Media Planner en Ad Quote Line</w:t>
            </w:r>
          </w:p>
        </w:tc>
        <w:tc>
          <w:tcPr>
            <w:tcW w:type="dxa" w:w="3135"/>
          </w:tcPr>
          <w:p>
            <w:r>
              <w:rPr>
                <w:sz w:val="18"/>
              </w:rPr>
              <w:t>Product2 → AdTargetCategorySegment</w:t>
            </w:r>
          </w:p>
        </w:tc>
      </w:tr>
      <w:tr>
        <w:tc>
          <w:tcPr>
            <w:tcW w:type="dxa" w:w="3135"/>
          </w:tcPr>
          <w:p>
            <w:r>
              <w:rPr>
                <w:sz w:val="18"/>
              </w:rPr>
              <w:t>AdAvailableTargetSegmentValue</w:t>
            </w:r>
          </w:p>
        </w:tc>
        <w:tc>
          <w:tcPr>
            <w:tcW w:type="dxa" w:w="3135"/>
          </w:tcPr>
          <w:p>
            <w:r>
              <w:rPr>
                <w:sz w:val="18"/>
              </w:rPr>
              <w:t>Habilita un valor específico de segmento por producto</w:t>
            </w:r>
          </w:p>
        </w:tc>
        <w:tc>
          <w:tcPr>
            <w:tcW w:type="dxa" w:w="3135"/>
          </w:tcPr>
          <w:p>
            <w:r>
              <w:rPr>
                <w:sz w:val="18"/>
              </w:rPr>
              <w:t>Product2 → AdTargetSegmentValue</w:t>
            </w:r>
          </w:p>
        </w:tc>
      </w:tr>
      <w:tr>
        <w:tc>
          <w:tcPr>
            <w:tcW w:type="dxa" w:w="3135"/>
          </w:tcPr>
          <w:p>
            <w:r>
              <w:rPr>
                <w:sz w:val="18"/>
              </w:rPr>
              <w:t>Ad Quote Line Target Value</w:t>
            </w:r>
          </w:p>
        </w:tc>
        <w:tc>
          <w:tcPr>
            <w:tcW w:type="dxa" w:w="3135"/>
          </w:tcPr>
          <w:p>
            <w:r>
              <w:rPr>
                <w:sz w:val="18"/>
              </w:rPr>
              <w:t>Almacena la selección de targeting del Media Planner</w:t>
            </w:r>
          </w:p>
        </w:tc>
        <w:tc>
          <w:tcPr>
            <w:tcW w:type="dxa" w:w="3135"/>
          </w:tcPr>
          <w:p>
            <w:r>
              <w:rPr>
                <w:sz w:val="18"/>
              </w:rPr>
              <w:t>AdQuoteLine → AdTargetSegmentValue</w:t>
            </w:r>
          </w:p>
        </w:tc>
      </w:tr>
    </w:tbl>
    <w:p>
      <w:pPr>
        <w:spacing w:after="80"/>
      </w:pPr>
    </w:p>
    <w:p>
      <w:pPr>
        <w:spacing w:before="240" w:after="80"/>
      </w:pPr>
      <w:r>
        <w:rPr>
          <w:b/>
          <w:i w:val="0"/>
          <w:color w:val="002060"/>
          <w:sz w:val="28"/>
        </w:rPr>
        <w:t>Modelo de Datos — Bloque Cliente y Ad Server</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Objeto</w:t>
            </w:r>
          </w:p>
        </w:tc>
        <w:tc>
          <w:tcPr>
            <w:tcW w:type="dxa" w:w="4703"/>
            <w:shd w:val="clear" w:color="auto" w:fill="002060"/>
          </w:tcPr>
          <w:p>
            <w:r>
              <w:rPr>
                <w:b/>
                <w:color w:val="FFFFFF"/>
                <w:sz w:val="18"/>
              </w:rPr>
              <w:t>Descripción</w:t>
            </w:r>
          </w:p>
        </w:tc>
      </w:tr>
      <w:tr>
        <w:tc>
          <w:tcPr>
            <w:tcW w:type="dxa" w:w="4703"/>
          </w:tcPr>
          <w:p>
            <w:r>
              <w:rPr>
                <w:sz w:val="18"/>
              </w:rPr>
              <w:t>Account</w:t>
            </w:r>
          </w:p>
        </w:tc>
        <w:tc>
          <w:tcPr>
            <w:tcW w:type="dxa" w:w="4703"/>
          </w:tcPr>
          <w:p>
            <w:r>
              <w:rPr>
                <w:sz w:val="18"/>
              </w:rPr>
              <w:t>Anunciante o agencia. Record Types: Advertiser , Agency .</w:t>
            </w:r>
          </w:p>
        </w:tc>
      </w:tr>
      <w:tr>
        <w:tc>
          <w:tcPr>
            <w:tcW w:type="dxa" w:w="4703"/>
          </w:tcPr>
          <w:p>
            <w:r>
              <w:rPr>
                <w:sz w:val="18"/>
              </w:rPr>
              <w:t>Contact</w:t>
            </w:r>
          </w:p>
        </w:tc>
        <w:tc>
          <w:tcPr>
            <w:tcW w:type="dxa" w:w="4703"/>
          </w:tcPr>
          <w:p>
            <w:r>
              <w:rPr>
                <w:sz w:val="18"/>
              </w:rPr>
              <w:t>Punto de contacto del cliente (anunciante o agencia).</w:t>
            </w:r>
          </w:p>
        </w:tc>
      </w:tr>
      <w:tr>
        <w:tc>
          <w:tcPr>
            <w:tcW w:type="dxa" w:w="4703"/>
          </w:tcPr>
          <w:p>
            <w:r>
              <w:rPr>
                <w:sz w:val="18"/>
              </w:rPr>
              <w:t>Party Role Relationship</w:t>
            </w:r>
          </w:p>
        </w:tc>
        <w:tc>
          <w:tcPr>
            <w:tcW w:type="dxa" w:w="4703"/>
          </w:tcPr>
          <w:p>
            <w:r>
              <w:rPr>
                <w:sz w:val="18"/>
              </w:rPr>
              <w:t>Relaciones M:M cliente-agencia. Permite que un anunciante tenga múltiples agencias.</w:t>
            </w:r>
          </w:p>
        </w:tc>
      </w:tr>
      <w:tr>
        <w:tc>
          <w:tcPr>
            <w:tcW w:type="dxa" w:w="4703"/>
          </w:tcPr>
          <w:p>
            <w:r>
              <w:rPr>
                <w:sz w:val="18"/>
              </w:rPr>
              <w:t>Account Relationship</w:t>
            </w:r>
          </w:p>
        </w:tc>
        <w:tc>
          <w:tcPr>
            <w:tcW w:type="dxa" w:w="4703"/>
          </w:tcPr>
          <w:p>
            <w:r>
              <w:rPr>
                <w:sz w:val="18"/>
              </w:rPr>
              <w:t>Vincula dos cuentas (anunciante ↔ agencia) en una relación directa.</w:t>
            </w:r>
          </w:p>
        </w:tc>
      </w:tr>
    </w:tbl>
    <w:p>
      <w:pPr>
        <w:spacing w:after="80"/>
      </w:pPr>
    </w:p>
    <w:p>
      <w:pPr>
        <w:spacing w:before="40" w:after="80"/>
      </w:pPr>
      <w:r>
        <w:rPr>
          <w:b w:val="0"/>
          <w:i w:val="0"/>
          <w:color w:val="555577"/>
          <w:sz w:val="20"/>
        </w:rPr>
        <w:t>Configurar los valores de picklist: Advertiser , Agency</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Objeto</w:t>
            </w:r>
          </w:p>
        </w:tc>
        <w:tc>
          <w:tcPr>
            <w:tcW w:type="dxa" w:w="4703"/>
            <w:shd w:val="clear" w:color="auto" w:fill="002060"/>
          </w:tcPr>
          <w:p>
            <w:r>
              <w:rPr>
                <w:b/>
                <w:color w:val="FFFFFF"/>
                <w:sz w:val="18"/>
              </w:rPr>
              <w:t>Descripción</w:t>
            </w:r>
          </w:p>
        </w:tc>
      </w:tr>
      <w:tr>
        <w:tc>
          <w:tcPr>
            <w:tcW w:type="dxa" w:w="4703"/>
          </w:tcPr>
          <w:p>
            <w:r>
              <w:rPr>
                <w:sz w:val="18"/>
              </w:rPr>
              <w:t>Ad Server</w:t>
            </w:r>
          </w:p>
        </w:tc>
        <w:tc>
          <w:tcPr>
            <w:tcW w:type="dxa" w:w="4703"/>
          </w:tcPr>
          <w:p>
            <w:r>
              <w:rPr>
                <w:sz w:val="18"/>
              </w:rPr>
              <w:t>Parámetros técnicos del servidor externo (GAM, Advantage Serve).</w:t>
            </w:r>
          </w:p>
        </w:tc>
      </w:tr>
      <w:tr>
        <w:tc>
          <w:tcPr>
            <w:tcW w:type="dxa" w:w="4703"/>
          </w:tcPr>
          <w:p>
            <w:r>
              <w:rPr>
                <w:sz w:val="18"/>
              </w:rPr>
              <w:t>Ad Server Account</w:t>
            </w:r>
          </w:p>
        </w:tc>
        <w:tc>
          <w:tcPr>
            <w:tcW w:type="dxa" w:w="4703"/>
          </w:tcPr>
          <w:p>
            <w:r>
              <w:rPr>
                <w:sz w:val="18"/>
              </w:rPr>
              <w:t>Vincula el Ad Server con una cuenta o marca específica del anunciante.</w:t>
            </w:r>
          </w:p>
        </w:tc>
      </w:tr>
      <w:tr>
        <w:tc>
          <w:tcPr>
            <w:tcW w:type="dxa" w:w="4703"/>
          </w:tcPr>
          <w:p>
            <w:r>
              <w:rPr>
                <w:sz w:val="18"/>
              </w:rPr>
              <w:t>Ad Server Account Contact</w:t>
            </w:r>
          </w:p>
        </w:tc>
        <w:tc>
          <w:tcPr>
            <w:tcW w:type="dxa" w:w="4703"/>
          </w:tcPr>
          <w:p>
            <w:r>
              <w:rPr>
                <w:sz w:val="18"/>
              </w:rPr>
              <w:t>Conecta Ad Server Account con el contacto responsable.</w:t>
            </w:r>
          </w:p>
        </w:tc>
      </w:tr>
      <w:tr>
        <w:tc>
          <w:tcPr>
            <w:tcW w:type="dxa" w:w="4703"/>
          </w:tcPr>
          <w:p>
            <w:r>
              <w:rPr>
                <w:sz w:val="18"/>
              </w:rPr>
              <w:t>Ad Server User</w:t>
            </w:r>
          </w:p>
        </w:tc>
        <w:tc>
          <w:tcPr>
            <w:tcW w:type="dxa" w:w="4703"/>
          </w:tcPr>
          <w:p>
            <w:r>
              <w:rPr>
                <w:sz w:val="18"/>
              </w:rPr>
              <w:t>Mapea el Ad Server con un Media Planner o Sales Rep interno de TV Azteca.</w:t>
            </w:r>
          </w:p>
        </w:tc>
      </w:tr>
    </w:tbl>
    <w:p>
      <w:pPr>
        <w:spacing w:after="80"/>
      </w:pPr>
    </w:p>
    <w:p>
      <w:pPr>
        <w:spacing w:before="40" w:after="80"/>
      </w:pPr>
      <w:r>
        <w:rPr>
          <w:b w:val="0"/>
          <w:i w:val="0"/>
          <w:color w:val="555577"/>
          <w:sz w:val="20"/>
        </w:rPr>
        <w:t>Configurar los valores de picklist: Media Buyer , Distributor</w:t>
      </w:r>
    </w:p>
    <w:p>
      <w:pPr>
        <w:spacing w:before="40" w:after="80"/>
      </w:pPr>
      <w:r>
        <w:rPr>
          <w:b w:val="0"/>
          <w:i w:val="0"/>
          <w:color w:val="555577"/>
          <w:sz w:val="20"/>
        </w:rPr>
        <w:t>Ad Order Item hereda idénticamente toda la metadata de Ad Quote Line incluyendo schedules, hiatus y targeting — sin reconfiguración manual. Al convertir la Quote en Order, todos los criterios de entrega y segmentación se propagan automáticamente.</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Objeto</w:t>
            </w:r>
          </w:p>
        </w:tc>
        <w:tc>
          <w:tcPr>
            <w:tcW w:type="dxa" w:w="4703"/>
            <w:shd w:val="clear" w:color="auto" w:fill="002060"/>
          </w:tcPr>
          <w:p>
            <w:r>
              <w:rPr>
                <w:b/>
                <w:color w:val="FFFFFF"/>
                <w:sz w:val="18"/>
              </w:rPr>
              <w:t>Datos clave</w:t>
            </w:r>
          </w:p>
        </w:tc>
      </w:tr>
      <w:tr>
        <w:tc>
          <w:tcPr>
            <w:tcW w:type="dxa" w:w="4703"/>
          </w:tcPr>
          <w:p>
            <w:r>
              <w:rPr>
                <w:sz w:val="18"/>
              </w:rPr>
              <w:t>Opportunity</w:t>
            </w:r>
          </w:p>
        </w:tc>
        <w:tc>
          <w:tcPr>
            <w:tcW w:type="dxa" w:w="4703"/>
          </w:tcPr>
          <w:p>
            <w:r>
              <w:rPr>
                <w:sz w:val="18"/>
              </w:rPr>
              <w:t>Campaign Strategy: Brand Awareness, Conversion. Punto de origen del ciclo comercial.</w:t>
            </w:r>
          </w:p>
        </w:tc>
      </w:tr>
      <w:tr>
        <w:tc>
          <w:tcPr>
            <w:tcW w:type="dxa" w:w="4703"/>
          </w:tcPr>
          <w:p>
            <w:r>
              <w:rPr>
                <w:sz w:val="18"/>
              </w:rPr>
              <w:t>Ad Opportunity</w:t>
            </w:r>
          </w:p>
        </w:tc>
        <w:tc>
          <w:tcPr>
            <w:tcW w:type="dxa" w:w="4703"/>
          </w:tcPr>
          <w:p>
            <w:r>
              <w:rPr>
                <w:sz w:val="18"/>
              </w:rPr>
              <w:t>Ad Type, Deal Type, Flight Period. Extiende la Oportunidad con datos específicos de medios.</w:t>
            </w:r>
          </w:p>
        </w:tc>
      </w:tr>
      <w:tr>
        <w:tc>
          <w:tcPr>
            <w:tcW w:type="dxa" w:w="4703"/>
          </w:tcPr>
          <w:p>
            <w:r>
              <w:rPr>
                <w:sz w:val="18"/>
              </w:rPr>
              <w:t>Ad Opportunity Product</w:t>
            </w:r>
          </w:p>
        </w:tc>
        <w:tc>
          <w:tcPr>
            <w:tcW w:type="dxa" w:w="4703"/>
          </w:tcPr>
          <w:p>
            <w:r>
              <w:rPr>
                <w:sz w:val="18"/>
              </w:rPr>
              <w:t>Producto de interés del anunciante vinculado a la oportunidad de venta.</w:t>
            </w:r>
          </w:p>
        </w:tc>
      </w:tr>
      <w:tr>
        <w:tc>
          <w:tcPr>
            <w:tcW w:type="dxa" w:w="4703"/>
          </w:tcPr>
          <w:p>
            <w:r>
              <w:rPr>
                <w:sz w:val="18"/>
              </w:rPr>
              <w:t>Quote / Ad Quote</w:t>
            </w:r>
          </w:p>
        </w:tc>
        <w:tc>
          <w:tcPr>
            <w:tcW w:type="dxa" w:w="4703"/>
          </w:tcPr>
          <w:p>
            <w:r>
              <w:rPr>
                <w:sz w:val="18"/>
              </w:rPr>
              <w:t>Budget, Start/End Date, Media Type: Digital. El Media Plan como cotización formal.</w:t>
            </w:r>
          </w:p>
        </w:tc>
      </w:tr>
      <w:tr>
        <w:tc>
          <w:tcPr>
            <w:tcW w:type="dxa" w:w="4703"/>
          </w:tcPr>
          <w:p>
            <w:r>
              <w:rPr>
                <w:sz w:val="18"/>
              </w:rPr>
              <w:t>Ad Quote Line</w:t>
            </w:r>
          </w:p>
        </w:tc>
        <w:tc>
          <w:tcPr>
            <w:tcW w:type="dxa" w:w="4703"/>
          </w:tcPr>
          <w:p>
            <w:r>
              <w:rPr>
                <w:sz w:val="18"/>
              </w:rPr>
              <w:t>CPC/CPM, Creative Size, Targeting, Schedule. Un placement configurado dentro del Media Plan.</w:t>
            </w:r>
          </w:p>
        </w:tc>
      </w:tr>
      <w:tr>
        <w:tc>
          <w:tcPr>
            <w:tcW w:type="dxa" w:w="4703"/>
          </w:tcPr>
          <w:p>
            <w:r>
              <w:rPr>
                <w:sz w:val="18"/>
              </w:rPr>
              <w:t>Ad Quote Line Delivery Schedule</w:t>
            </w:r>
          </w:p>
        </w:tc>
        <w:tc>
          <w:tcPr>
            <w:tcW w:type="dxa" w:w="4703"/>
          </w:tcPr>
          <w:p>
            <w:r>
              <w:rPr>
                <w:sz w:val="18"/>
              </w:rPr>
              <w:t>Período y días de entrega (ej. Lun-Vier). Detalla la programación de entrega del placement.</w:t>
            </w:r>
          </w:p>
        </w:tc>
      </w:tr>
      <w:tr>
        <w:tc>
          <w:tcPr>
            <w:tcW w:type="dxa" w:w="4703"/>
          </w:tcPr>
          <w:p>
            <w:r>
              <w:rPr>
                <w:sz w:val="18"/>
              </w:rPr>
              <w:t>Ad Quote Line Delivery Frequency</w:t>
            </w:r>
          </w:p>
        </w:tc>
        <w:tc>
          <w:tcPr>
            <w:tcW w:type="dxa" w:w="4703"/>
          </w:tcPr>
          <w:p>
            <w:r>
              <w:rPr>
                <w:sz w:val="18"/>
              </w:rPr>
              <w:t>Frontloaded / Evenly / As fast as possible. Define el ritmo de distribución de impresiones.</w:t>
            </w:r>
          </w:p>
        </w:tc>
      </w:tr>
      <w:tr>
        <w:tc>
          <w:tcPr>
            <w:tcW w:type="dxa" w:w="4703"/>
          </w:tcPr>
          <w:p>
            <w:r>
              <w:rPr>
                <w:sz w:val="18"/>
              </w:rPr>
              <w:t>Ad Quote Line Hiatus</w:t>
            </w:r>
          </w:p>
        </w:tc>
        <w:tc>
          <w:tcPr>
            <w:tcW w:type="dxa" w:w="4703"/>
          </w:tcPr>
          <w:p>
            <w:r>
              <w:rPr>
                <w:sz w:val="18"/>
              </w:rPr>
              <w:t>Fechas excluidas durante el vuelo de campaña (festivos, mantenimientos, paros de pauta).</w:t>
            </w:r>
          </w:p>
        </w:tc>
      </w:tr>
      <w:tr>
        <w:tc>
          <w:tcPr>
            <w:tcW w:type="dxa" w:w="4703"/>
          </w:tcPr>
          <w:p>
            <w:r>
              <w:rPr>
                <w:sz w:val="18"/>
              </w:rPr>
              <w:t>Ad Quote Line Target Value</w:t>
            </w:r>
          </w:p>
        </w:tc>
        <w:tc>
          <w:tcPr>
            <w:tcW w:type="dxa" w:w="4703"/>
          </w:tcPr>
          <w:p>
            <w:r>
              <w:rPr>
                <w:sz w:val="18"/>
              </w:rPr>
              <w:t>Criterio de targeting seleccionado: Estado, Canal GAM, Segmento de edad.</w:t>
            </w:r>
          </w:p>
        </w:tc>
      </w:tr>
      <w:tr>
        <w:tc>
          <w:tcPr>
            <w:tcW w:type="dxa" w:w="4703"/>
          </w:tcPr>
          <w:p>
            <w:r>
              <w:rPr>
                <w:sz w:val="18"/>
              </w:rPr>
              <w:t>Order / Ad Order Item</w:t>
            </w:r>
          </w:p>
        </w:tc>
        <w:tc>
          <w:tcPr>
            <w:tcW w:type="dxa" w:w="4703"/>
          </w:tcPr>
          <w:p>
            <w:r>
              <w:rPr>
                <w:sz w:val="18"/>
              </w:rPr>
              <w:t>Orden firme. Hereda toda la metadata del Media Plan incluyendo schedules, hiatus y targeting.</w:t>
            </w:r>
          </w:p>
        </w:tc>
      </w:tr>
    </w:tbl>
    <w:p>
      <w:pPr>
        <w:spacing w:after="80"/>
      </w:pPr>
    </w:p>
    <w:p>
      <w:pPr>
        <w:spacing w:before="240" w:after="80"/>
      </w:pPr>
      <w:r>
        <w:rPr>
          <w:b/>
          <w:i w:val="0"/>
          <w:color w:val="002060"/>
          <w:sz w:val="28"/>
        </w:rPr>
        <w:t>Ajustes Generales de Etiquetas Quote y Order</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 Original</w:t>
            </w:r>
          </w:p>
        </w:tc>
        <w:tc>
          <w:tcPr>
            <w:tcW w:type="dxa" w:w="4703"/>
            <w:shd w:val="clear" w:color="auto" w:fill="002060"/>
          </w:tcPr>
          <w:p>
            <w:r>
              <w:rPr>
                <w:b/>
                <w:color w:val="FFFFFF"/>
                <w:sz w:val="18"/>
              </w:rPr>
              <w:t>Etiqueta en Español</w:t>
            </w:r>
          </w:p>
        </w:tc>
      </w:tr>
      <w:tr>
        <w:tc>
          <w:tcPr>
            <w:tcW w:type="dxa" w:w="4703"/>
          </w:tcPr>
          <w:p>
            <w:r>
              <w:rPr>
                <w:sz w:val="18"/>
              </w:rPr>
              <w:t>Budget</w:t>
            </w:r>
          </w:p>
        </w:tc>
        <w:tc>
          <w:tcPr>
            <w:tcW w:type="dxa" w:w="4703"/>
          </w:tcPr>
          <w:p>
            <w:r>
              <w:rPr>
                <w:sz w:val="18"/>
              </w:rPr>
              <w:t>Presupuesto</w:t>
            </w:r>
          </w:p>
        </w:tc>
      </w:tr>
      <w:tr>
        <w:tc>
          <w:tcPr>
            <w:tcW w:type="dxa" w:w="4703"/>
          </w:tcPr>
          <w:p>
            <w:r>
              <w:rPr>
                <w:sz w:val="18"/>
              </w:rPr>
              <w:t>Media Type</w:t>
            </w:r>
          </w:p>
        </w:tc>
        <w:tc>
          <w:tcPr>
            <w:tcW w:type="dxa" w:w="4703"/>
          </w:tcPr>
          <w:p>
            <w:r>
              <w:rPr>
                <w:sz w:val="18"/>
              </w:rPr>
              <w:t>Tipo de Medio</w:t>
            </w:r>
          </w:p>
        </w:tc>
      </w:tr>
      <w:tr>
        <w:tc>
          <w:tcPr>
            <w:tcW w:type="dxa" w:w="4703"/>
          </w:tcPr>
          <w:p>
            <w:r>
              <w:rPr>
                <w:sz w:val="18"/>
              </w:rPr>
              <w:t>Start Date</w:t>
            </w:r>
          </w:p>
        </w:tc>
        <w:tc>
          <w:tcPr>
            <w:tcW w:type="dxa" w:w="4703"/>
          </w:tcPr>
          <w:p>
            <w:r>
              <w:rPr>
                <w:sz w:val="18"/>
              </w:rPr>
              <w:t>Fecha de Inicio</w:t>
            </w:r>
          </w:p>
        </w:tc>
      </w:tr>
      <w:tr>
        <w:tc>
          <w:tcPr>
            <w:tcW w:type="dxa" w:w="4703"/>
          </w:tcPr>
          <w:p>
            <w:r>
              <w:rPr>
                <w:sz w:val="18"/>
              </w:rPr>
              <w:t>End Date</w:t>
            </w:r>
          </w:p>
        </w:tc>
        <w:tc>
          <w:tcPr>
            <w:tcW w:type="dxa" w:w="4703"/>
          </w:tcPr>
          <w:p>
            <w:r>
              <w:rPr>
                <w:sz w:val="18"/>
              </w:rPr>
              <w:t>Fecha de Fin</w:t>
            </w:r>
          </w:p>
        </w:tc>
      </w:tr>
    </w:tbl>
    <w:p>
      <w:pPr>
        <w:spacing w:after="80"/>
      </w:pPr>
    </w:p>
    <w:p>
      <w:pPr>
        <w:spacing w:before="40" w:after="80"/>
      </w:pPr>
      <w:r>
        <w:rPr>
          <w:b w:val="0"/>
          <w:i w:val="0"/>
          <w:color w:val="555577"/>
          <w:sz w:val="20"/>
        </w:rPr>
        <w:t>Las etiquetas equivalentes en español se aplicaron también al objeto Order, manteniendo consistencia terminológica a lo largo de todo el ciclo Quote → Order.</w:t>
      </w:r>
    </w:p>
    <w:p>
      <w:pPr>
        <w:spacing w:before="40" w:after="80"/>
      </w:pPr>
      <w:r>
        <w:rPr>
          <w:b w:val="0"/>
          <w:i w:val="0"/>
          <w:color w:val="555577"/>
          <w:sz w:val="20"/>
        </w:rPr>
        <w:t>Los ajustes de etiquetas se realizan en Salesforce Setup bajo Rename Tabs and Labels o mediante Custom Labels por perfil de usuario. El equipo DevOps debe incluir estos metadatos en los paquetes de despliegue.</w:t>
      </w:r>
    </w:p>
    <w:p>
      <w:pPr>
        <w:spacing w:before="240" w:after="80"/>
      </w:pPr>
      <w:r>
        <w:rPr>
          <w:b/>
          <w:i w:val="0"/>
          <w:color w:val="002060"/>
          <w:sz w:val="28"/>
        </w:rPr>
        <w:t>Demo — Sprint 2</w:t>
      </w:r>
    </w:p>
    <w:p>
      <w:pPr>
        <w:spacing w:before="40" w:after="80"/>
      </w:pPr>
      <w:r>
        <w:rPr>
          <w:b w:val="0"/>
          <w:i w:val="0"/>
          <w:color w:val="555577"/>
          <w:sz w:val="20"/>
        </w:rPr>
        <w:t>Recorrido en pantalla de las configuraciones del Sprint 2: PCM Extendido, Line Item Configuration y Segmentación.</w:t>
      </w:r>
    </w:p>
    <w:p>
      <w:pPr>
        <w:spacing w:before="240" w:after="80"/>
      </w:pPr>
      <w:r>
        <w:rPr>
          <w:b/>
          <w:i w:val="0"/>
          <w:color w:val="002060"/>
          <w:sz w:val="28"/>
        </w:rPr>
        <w:t>User Stories Sprint 2</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2060"/>
          </w:tcPr>
          <w:p>
            <w:pPr>
              <w:spacing w:before="280" w:after="80"/>
              <w:jc w:val="center"/>
            </w:pPr>
            <w:r>
              <w:rPr>
                <w:b/>
                <w:i w:val="0"/>
                <w:color w:val="E8B84B"/>
                <w:sz w:val="56"/>
              </w:rPr>
              <w:t>SPRINT  3</w:t>
            </w:r>
          </w:p>
          <w:p>
            <w:pPr>
              <w:spacing w:before="40" w:after="280"/>
              <w:jc w:val="center"/>
            </w:pPr>
            <w:r>
              <w:rPr>
                <w:b w:val="0"/>
                <w:i w:val="0"/>
                <w:color w:val="C0D4FF"/>
                <w:sz w:val="26"/>
              </w:rPr>
              <w:t>DRO Setup y Aprovisionamiento GAM</w:t>
            </w:r>
          </w:p>
        </w:tc>
      </w:tr>
    </w:tbl>
    <w:p>
      <w:pPr>
        <w:spacing w:after="120"/>
      </w:pPr>
    </w:p>
    <w:p>
      <w:pPr>
        <w:spacing w:before="40" w:after="40"/>
      </w:pPr>
      <w:r>
        <w:rPr>
          <w:b/>
          <w:i w:val="0"/>
          <w:color w:val="E8B84B"/>
          <w:sz w:val="16"/>
        </w:rPr>
        <w:t>Knowledge Transfer · Release 1</w:t>
      </w:r>
    </w:p>
    <w:p>
      <w:pPr>
        <w:spacing w:before="240" w:after="80"/>
      </w:pPr>
      <w:r>
        <w:rPr>
          <w:b/>
          <w:i w:val="0"/>
          <w:color w:val="0070D2"/>
          <w:sz w:val="36"/>
        </w:rPr>
        <w:t>PCM 12 Productos, DRO Setup y Aprovisionamiento Ad Server</w:t>
      </w:r>
    </w:p>
    <w:p>
      <w:pPr>
        <w:spacing w:before="40" w:after="80"/>
      </w:pPr>
      <w:r>
        <w:rPr>
          <w:b w:val="0"/>
          <w:i w:val="0"/>
          <w:color w:val="555577"/>
          <w:sz w:val="20"/>
        </w:rPr>
        <w:t>Catálogo expandido a 12 productos digitales completos y primera integración real con Google Ad Manager — primer aprovisionamiento end-to-end activo en la Org.</w:t>
      </w:r>
    </w:p>
    <w:p>
      <w:pPr>
        <w:spacing w:before="40" w:after="40"/>
        <w:pBdr>
          <w:bottom w:val="single" w:sz="4" w:space="1" w:color="002060"/>
        </w:pBdr>
      </w:pPr>
    </w:p>
    <w:p>
      <w:pPr>
        <w:spacing w:before="240" w:after="80"/>
      </w:pPr>
      <w:r>
        <w:rPr>
          <w:b/>
          <w:i w:val="0"/>
          <w:color w:val="002060"/>
          <w:sz w:val="28"/>
        </w:rPr>
        <w:t>§1  PCM Expandido a 12 Productos</w:t>
      </w:r>
    </w:p>
    <w:p>
      <w:pPr>
        <w:spacing w:before="140" w:after="80"/>
      </w:pPr>
      <w:r>
        <w:rPr>
          <w:b/>
          <w:i w:val="0"/>
          <w:color w:val="0070D2"/>
          <w:sz w:val="24"/>
        </w:rPr>
        <w:t>1.1 Catálogo Expandido</w:t>
      </w:r>
    </w:p>
    <w:p>
      <w:pPr>
        <w:spacing w:before="40" w:after="80"/>
      </w:pPr>
      <w:r>
        <w:rPr>
          <w:b w:val="0"/>
          <w:i w:val="0"/>
          <w:color w:val="555577"/>
          <w:sz w:val="20"/>
        </w:rPr>
        <w:t>El catálogo cubre cuatro categorías principales de comercialización digital:</w:t>
      </w:r>
    </w:p>
    <w:p>
      <w:pPr>
        <w:spacing w:before="140" w:after="80"/>
      </w:pPr>
      <w:r>
        <w:rPr>
          <w:b/>
          <w:i w:val="0"/>
          <w:color w:val="0070D2"/>
          <w:sz w:val="24"/>
        </w:rPr>
        <w:t>1.2 Script Python — Idempotencia y Carga Masiva</w:t>
      </w:r>
    </w:p>
    <w:p>
      <w:pPr>
        <w:spacing w:after="80"/>
        <w:ind w:left="283"/>
      </w:pPr>
      <w:r>
        <w:rPr>
          <w:rFonts w:ascii="Courier New" w:hAnsi="Courier New"/>
          <w:b w:val="0"/>
          <w:i w:val="0"/>
          <w:color w:val="4080C0"/>
          <w:sz w:val="16"/>
        </w:rPr>
        <w:t>Ejecución — Carga de Catálogo bash # Ejecución normal python3 scripts/catalog-to-salesforce.py \ --org TVADevJosue \ --input catalog.xlsx # Dry-run — sin modificar la Org python3 scripts/catalog-to-salesforce.py \ --org TVADevJosue \ --input catalog.xlsx \ --dry-run # Cleanup — elimina specs no listados en CSVs aprobados python3 scripts/catalog-to-salesforce.py \ --org TVADevJosue \ --input catalog.xlsx \ --cleanup</w:t>
      </w:r>
    </w:p>
    <w:p>
      <w:pPr>
        <w:spacing w:before="40" w:after="80"/>
      </w:pPr>
      <w:r>
        <w:rPr>
          <w:b w:val="0"/>
          <w:i w:val="0"/>
          <w:color w:val="555577"/>
          <w:sz w:val="20"/>
        </w:rPr>
        <w:t>Fases de ejecución del script:</w:t>
      </w:r>
    </w:p>
    <w:p>
      <w:pPr>
        <w:pStyle w:val="ListNumber"/>
        <w:spacing w:after="40"/>
      </w:pPr>
      <w:r>
        <w:rPr>
          <w:b w:val="0"/>
          <w:i w:val="0"/>
          <w:sz w:val="18"/>
        </w:rPr>
        <w:t>1 Preflight SOQL Carga el estado actual de la Org en memoria. Consulta objetos existentes: Product2, ProductCategory, AdSpaceSpecification y PricebookEntry.</w:t>
      </w:r>
    </w:p>
    <w:p>
      <w:pPr>
        <w:pStyle w:val="ListNumber"/>
        <w:spacing w:after="40"/>
      </w:pPr>
      <w:r>
        <w:rPr>
          <w:b w:val="0"/>
          <w:i w:val="0"/>
          <w:sz w:val="18"/>
        </w:rPr>
        <w:t>2 Calcula Hash GUID Genera un identificador único basado en campos técnicos del producto (nombre, categoría, plataforma, formato). Garantiza idempotencia entre ejecuciones.</w:t>
      </w:r>
    </w:p>
    <w:p>
      <w:pPr>
        <w:pStyle w:val="ListNumber"/>
        <w:spacing w:after="40"/>
      </w:pPr>
      <w:r>
        <w:rPr>
          <w:b w:val="0"/>
          <w:i w:val="0"/>
          <w:sz w:val="18"/>
        </w:rPr>
        <w:t>3 Inyecta TVA_GUID__c Graba el GUID calculado en el campo TVA_GUID__c en todos los objetos MC+RC del catálogo.</w:t>
      </w:r>
    </w:p>
    <w:p>
      <w:pPr>
        <w:pStyle w:val="ListNumber"/>
        <w:spacing w:after="40"/>
      </w:pPr>
      <w:r>
        <w:rPr>
          <w:b w:val="0"/>
          <w:i w:val="0"/>
          <w:sz w:val="18"/>
        </w:rPr>
        <w:t>4 Lógica Delta Si GUID existe : solo actualiza PricebookEntry si cambia la tarifa. Si GUID no existe : crea las 3 capas en bloque transaccional único.</w:t>
      </w:r>
    </w:p>
    <w:p>
      <w:pPr>
        <w:spacing w:before="40" w:after="80"/>
      </w:pPr>
      <w:r>
        <w:rPr>
          <w:b w:val="0"/>
          <w:i w:val="0"/>
          <w:color w:val="555577"/>
          <w:sz w:val="20"/>
        </w:rPr>
        <w:t>Indicadores de salida:</w:t>
      </w:r>
    </w:p>
    <w:p>
      <w:pPr>
        <w:spacing w:before="40" w:after="80"/>
      </w:pPr>
      <w:r>
        <w:rPr>
          <w:b w:val="0"/>
          <w:i w:val="0"/>
          <w:color w:val="555577"/>
          <w:sz w:val="20"/>
        </w:rPr>
        <w:t>Columnas requeridas en el Excel:</w:t>
      </w:r>
    </w:p>
    <w:p>
      <w:pPr>
        <w:spacing w:before="40" w:after="80"/>
      </w:pPr>
      <w:r>
        <w:rPr>
          <w:b w:val="0"/>
          <w:i w:val="0"/>
          <w:color w:val="555577"/>
          <w:sz w:val="20"/>
        </w:rPr>
        <w:t>Permisos requeridos para ejecutar el script:</w:t>
      </w:r>
    </w:p>
    <w:p>
      <w:pPr>
        <w:spacing w:before="240" w:after="80"/>
      </w:pPr>
      <w:r>
        <w:rPr>
          <w:b/>
          <w:i w:val="0"/>
          <w:color w:val="002060"/>
          <w:sz w:val="28"/>
        </w:rPr>
        <w:t>§2  Context Service y Context Definitions</w:t>
      </w:r>
    </w:p>
    <w:p>
      <w:pPr>
        <w:spacing w:before="40" w:after="80"/>
      </w:pPr>
      <w:r>
        <w:rPr>
          <w:b w:val="0"/>
          <w:i w:val="0"/>
          <w:color w:val="555577"/>
          <w:sz w:val="20"/>
        </w:rPr>
        <w:t>El Context Service es un prerrequisito crítico para que la Pricing Procedure ejecute correctamente. Sin él, los precios se calculan como $0 en cualquier Quote.</w:t>
      </w:r>
    </w:p>
    <w:p>
      <w:pPr>
        <w:spacing w:before="140" w:after="80"/>
      </w:pPr>
      <w:r>
        <w:rPr>
          <w:b/>
          <w:i w:val="0"/>
          <w:color w:val="0070D2"/>
          <w:sz w:val="24"/>
        </w:rPr>
        <w:t>2.1 Context Service Setup</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w:t>
            </w:r>
          </w:p>
        </w:tc>
        <w:tc>
          <w:tcPr>
            <w:tcW w:type="dxa" w:w="4703"/>
            <w:shd w:val="clear" w:color="auto" w:fill="002060"/>
          </w:tcPr>
          <w:p>
            <w:r>
              <w:rPr>
                <w:b/>
                <w:color w:val="FFFFFF"/>
                <w:sz w:val="18"/>
              </w:rPr>
              <w:t>Valor</w:t>
            </w:r>
          </w:p>
        </w:tc>
      </w:tr>
      <w:tr>
        <w:tc>
          <w:tcPr>
            <w:tcW w:type="dxa" w:w="4703"/>
          </w:tcPr>
          <w:p>
            <w:r>
              <w:rPr>
                <w:sz w:val="18"/>
              </w:rPr>
              <w:t>Ruta de configuración</w:t>
            </w:r>
          </w:p>
        </w:tc>
        <w:tc>
          <w:tcPr>
            <w:tcW w:type="dxa" w:w="4703"/>
          </w:tcPr>
          <w:p>
            <w:r>
              <w:rPr>
                <w:sz w:val="18"/>
              </w:rPr>
              <w:t>Setup → Context Service → Enable</w:t>
            </w:r>
          </w:p>
        </w:tc>
      </w:tr>
      <w:tr>
        <w:tc>
          <w:tcPr>
            <w:tcW w:type="dxa" w:w="4703"/>
          </w:tcPr>
          <w:p>
            <w:r>
              <w:rPr>
                <w:sz w:val="18"/>
              </w:rPr>
              <w:t>Efecto al habilitar</w:t>
            </w:r>
          </w:p>
        </w:tc>
        <w:tc>
          <w:tcPr>
            <w:tcW w:type="dxa" w:w="4703"/>
          </w:tcPr>
          <w:p>
            <w:r>
              <w:rPr>
                <w:sz w:val="18"/>
              </w:rPr>
              <w:t>Hidrata el objeto MediaPlanTransactionContext en runtime</w:t>
            </w:r>
          </w:p>
        </w:tc>
      </w:tr>
      <w:tr>
        <w:tc>
          <w:tcPr>
            <w:tcW w:type="dxa" w:w="4703"/>
          </w:tcPr>
          <w:p>
            <w:r>
              <w:rPr>
                <w:sz w:val="18"/>
              </w:rPr>
              <w:t>Requerido por</w:t>
            </w:r>
          </w:p>
        </w:tc>
        <w:tc>
          <w:tcPr>
            <w:tcW w:type="dxa" w:w="4703"/>
          </w:tcPr>
          <w:p>
            <w:r>
              <w:rPr>
                <w:sz w:val="18"/>
              </w:rPr>
              <w:t>TVAM Ad Sales Pricing Procedure</w:t>
            </w:r>
          </w:p>
        </w:tc>
      </w:tr>
    </w:tbl>
    <w:p>
      <w:pPr>
        <w:spacing w:after="80"/>
      </w:pPr>
    </w:p>
    <w:p>
      <w:pPr>
        <w:spacing w:before="140" w:after="80"/>
      </w:pPr>
      <w:r>
        <w:rPr>
          <w:b/>
          <w:i w:val="0"/>
          <w:color w:val="0070D2"/>
          <w:sz w:val="24"/>
        </w:rPr>
        <w:t>2.2 Context Definition Configurada</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w:t>
            </w:r>
          </w:p>
        </w:tc>
        <w:tc>
          <w:tcPr>
            <w:tcW w:type="dxa" w:w="4703"/>
            <w:shd w:val="clear" w:color="auto" w:fill="002060"/>
          </w:tcPr>
          <w:p>
            <w:r>
              <w:rPr>
                <w:b/>
                <w:color w:val="FFFFFF"/>
                <w:sz w:val="18"/>
              </w:rPr>
              <w:t>Valor</w:t>
            </w:r>
          </w:p>
        </w:tc>
      </w:tr>
      <w:tr>
        <w:tc>
          <w:tcPr>
            <w:tcW w:type="dxa" w:w="4703"/>
          </w:tcPr>
          <w:p>
            <w:r>
              <w:rPr>
                <w:sz w:val="18"/>
              </w:rPr>
              <w:t>Nombre</w:t>
            </w:r>
          </w:p>
        </w:tc>
        <w:tc>
          <w:tcPr>
            <w:tcW w:type="dxa" w:w="4703"/>
          </w:tcPr>
          <w:p>
            <w:r>
              <w:rPr>
                <w:sz w:val="18"/>
              </w:rPr>
              <w:t>TVAM_MediaPlanTransactionCtx</w:t>
            </w:r>
          </w:p>
        </w:tc>
      </w:tr>
      <w:tr>
        <w:tc>
          <w:tcPr>
            <w:tcW w:type="dxa" w:w="4703"/>
          </w:tcPr>
          <w:p>
            <w:r>
              <w:rPr>
                <w:sz w:val="18"/>
              </w:rPr>
              <w:t>Tipo</w:t>
            </w:r>
          </w:p>
        </w:tc>
        <w:tc>
          <w:tcPr>
            <w:tcW w:type="dxa" w:w="4703"/>
          </w:tcPr>
          <w:p>
            <w:r>
              <w:rPr>
                <w:sz w:val="18"/>
              </w:rPr>
              <w:t>Transaction Context</w:t>
            </w:r>
          </w:p>
        </w:tc>
      </w:tr>
      <w:tr>
        <w:tc>
          <w:tcPr>
            <w:tcW w:type="dxa" w:w="4703"/>
          </w:tcPr>
          <w:p>
            <w:r>
              <w:rPr>
                <w:sz w:val="18"/>
              </w:rPr>
              <w:t>Referenciada por</w:t>
            </w:r>
          </w:p>
        </w:tc>
        <w:tc>
          <w:tcPr>
            <w:tcW w:type="dxa" w:w="4703"/>
          </w:tcPr>
          <w:p>
            <w:r>
              <w:rPr>
                <w:sz w:val="18"/>
              </w:rPr>
              <w:t>TVAM Ad Sales Pricing Procedure</w:t>
            </w:r>
          </w:p>
        </w:tc>
      </w:tr>
      <w:tr>
        <w:tc>
          <w:tcPr>
            <w:tcW w:type="dxa" w:w="4703"/>
          </w:tcPr>
          <w:p>
            <w:r>
              <w:rPr>
                <w:sz w:val="18"/>
              </w:rPr>
              <w:t>Vinculada a</w:t>
            </w:r>
          </w:p>
        </w:tc>
        <w:tc>
          <w:tcPr>
            <w:tcW w:type="dxa" w:w="4703"/>
          </w:tcPr>
          <w:p>
            <w:r>
              <w:rPr>
                <w:sz w:val="18"/>
              </w:rPr>
              <w:t>Media Plan workflow y Quote-to-Order flow</w:t>
            </w:r>
          </w:p>
        </w:tc>
      </w:tr>
    </w:tbl>
    <w:p>
      <w:pPr>
        <w:spacing w:after="80"/>
      </w:pPr>
    </w:p>
    <w:p>
      <w:pPr>
        <w:spacing w:before="240" w:after="80"/>
      </w:pPr>
      <w:r>
        <w:rPr>
          <w:b/>
          <w:i w:val="0"/>
          <w:color w:val="002060"/>
          <w:sz w:val="28"/>
        </w:rPr>
        <w:t>§3  DRO Setup — Dynamic Revenue Orchestrator</w:t>
      </w:r>
    </w:p>
    <w:p>
      <w:pPr>
        <w:spacing w:before="140" w:after="80"/>
      </w:pPr>
      <w:r>
        <w:rPr>
          <w:b/>
          <w:i w:val="0"/>
          <w:color w:val="0070D2"/>
          <w:sz w:val="24"/>
        </w:rPr>
        <w:t>3.1 Qué es DRO</w:t>
      </w:r>
    </w:p>
    <w:p>
      <w:pPr>
        <w:spacing w:before="140" w:after="80"/>
      </w:pPr>
      <w:r>
        <w:rPr>
          <w:b/>
          <w:i w:val="0"/>
          <w:color w:val="0070D2"/>
          <w:sz w:val="24"/>
        </w:rPr>
        <w:t>3.2 Settings DRO a Habilitar</w:t>
      </w:r>
    </w:p>
    <w:p>
      <w:pPr>
        <w:pStyle w:val="ListBullet"/>
        <w:spacing w:after="40"/>
      </w:pPr>
      <w:r>
        <w:rPr>
          <w:b w:val="0"/>
          <w:i w:val="0"/>
          <w:sz w:val="18"/>
        </w:rPr>
        <w:t>Dynamic Revenue Orchestrator  [ON] — Módulo principal de aprovisionamiento</w:t>
      </w:r>
    </w:p>
    <w:p>
      <w:pPr>
        <w:pStyle w:val="ListBullet"/>
        <w:spacing w:after="40"/>
      </w:pPr>
      <w:r>
        <w:rPr>
          <w:b w:val="0"/>
          <w:i w:val="0"/>
          <w:sz w:val="18"/>
        </w:rPr>
        <w:t>In-flight Amendments  [ON] — Modificaciones durante vuelo de campaña — definición de flujos en Sprint 4</w:t>
      </w:r>
    </w:p>
    <w:p>
      <w:pPr>
        <w:spacing w:before="140" w:after="80"/>
      </w:pPr>
      <w:r>
        <w:rPr>
          <w:b/>
          <w:i w:val="0"/>
          <w:color w:val="0070D2"/>
          <w:sz w:val="24"/>
        </w:rPr>
        <w:t>3.3 DRO Flows Configurados (Activos)</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Flow</w:t>
            </w:r>
          </w:p>
        </w:tc>
        <w:tc>
          <w:tcPr>
            <w:tcW w:type="dxa" w:w="3135"/>
            <w:shd w:val="clear" w:color="auto" w:fill="002060"/>
          </w:tcPr>
          <w:p>
            <w:r>
              <w:rPr>
                <w:b/>
                <w:color w:val="FFFFFF"/>
                <w:sz w:val="18"/>
              </w:rPr>
              <w:t>Trigger</w:t>
            </w:r>
          </w:p>
        </w:tc>
        <w:tc>
          <w:tcPr>
            <w:tcW w:type="dxa" w:w="3135"/>
            <w:shd w:val="clear" w:color="auto" w:fill="002060"/>
          </w:tcPr>
          <w:p>
            <w:r>
              <w:rPr>
                <w:b/>
                <w:color w:val="FFFFFF"/>
                <w:sz w:val="18"/>
              </w:rPr>
              <w:t>Propósito</w:t>
            </w:r>
          </w:p>
        </w:tc>
      </w:tr>
      <w:tr>
        <w:tc>
          <w:tcPr>
            <w:tcW w:type="dxa" w:w="3135"/>
          </w:tcPr>
          <w:p>
            <w:r>
              <w:rPr>
                <w:sz w:val="18"/>
              </w:rPr>
              <w:t>DRO Order Fulfillment Flow</w:t>
            </w:r>
          </w:p>
        </w:tc>
        <w:tc>
          <w:tcPr>
            <w:tcW w:type="dxa" w:w="3135"/>
          </w:tcPr>
          <w:p>
            <w:r>
              <w:rPr>
                <w:sz w:val="18"/>
              </w:rPr>
              <w:t>Al activar una Order</w:t>
            </w:r>
          </w:p>
        </w:tc>
        <w:tc>
          <w:tcPr>
            <w:tcW w:type="dxa" w:w="3135"/>
          </w:tcPr>
          <w:p>
            <w:r>
              <w:rPr>
                <w:sz w:val="18"/>
              </w:rPr>
              <w:t>Primer aprovisionamiento al Ad Server (GAM). Genera el Line Item y obtiene el ID de respuesta.</w:t>
            </w:r>
          </w:p>
        </w:tc>
      </w:tr>
      <w:tr>
        <w:tc>
          <w:tcPr>
            <w:tcW w:type="dxa" w:w="3135"/>
          </w:tcPr>
          <w:p>
            <w:r>
              <w:rPr>
                <w:sz w:val="18"/>
              </w:rPr>
              <w:t>DRO Amendment Flow</w:t>
            </w:r>
          </w:p>
        </w:tc>
        <w:tc>
          <w:tcPr>
            <w:tcW w:type="dxa" w:w="3135"/>
          </w:tcPr>
          <w:p>
            <w:r>
              <w:rPr>
                <w:sz w:val="18"/>
              </w:rPr>
              <w:t>Modificación de una Order activa</w:t>
            </w:r>
          </w:p>
        </w:tc>
        <w:tc>
          <w:tcPr>
            <w:tcW w:type="dxa" w:w="3135"/>
          </w:tcPr>
          <w:p>
            <w:r>
              <w:rPr>
                <w:sz w:val="18"/>
              </w:rPr>
              <w:t>Gestiona cambios pre-vuelo o durante el vuelo de la campaña. Flujo definido en Sprint 4.</w:t>
            </w:r>
          </w:p>
        </w:tc>
      </w:tr>
    </w:tbl>
    <w:p>
      <w:pPr>
        <w:spacing w:after="80"/>
      </w:pPr>
    </w:p>
    <w:p>
      <w:pPr>
        <w:spacing w:before="240" w:after="80"/>
      </w:pPr>
      <w:r>
        <w:rPr>
          <w:b/>
          <w:i w:val="0"/>
          <w:color w:val="002060"/>
          <w:sz w:val="28"/>
        </w:rPr>
        <w:t>§4  Ad Server Integration — Google Ad Manager</w:t>
      </w:r>
    </w:p>
    <w:p>
      <w:pPr>
        <w:spacing w:before="40" w:after="80"/>
      </w:pPr>
      <w:r>
        <w:rPr>
          <w:b w:val="0"/>
          <w:i w:val="0"/>
          <w:color w:val="555577"/>
          <w:sz w:val="20"/>
        </w:rPr>
        <w:t>Primera integración end-to-end operativa con Google Ad Manager. El DRO Order Fulfillment Flow envía el payload a GAM y recibe el Line Item ID que confirma el aprovisionamiento.</w:t>
      </w:r>
    </w:p>
    <w:p>
      <w:pPr>
        <w:spacing w:before="140" w:after="80"/>
      </w:pPr>
      <w:r>
        <w:rPr>
          <w:b/>
          <w:i w:val="0"/>
          <w:color w:val="0070D2"/>
          <w:sz w:val="24"/>
        </w:rPr>
        <w:t>4.1 GAM Integration Setup</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w:t>
            </w:r>
          </w:p>
        </w:tc>
        <w:tc>
          <w:tcPr>
            <w:tcW w:type="dxa" w:w="4703"/>
            <w:shd w:val="clear" w:color="auto" w:fill="002060"/>
          </w:tcPr>
          <w:p>
            <w:r>
              <w:rPr>
                <w:b/>
                <w:color w:val="FFFFFF"/>
                <w:sz w:val="18"/>
              </w:rPr>
              <w:t>Valor</w:t>
            </w:r>
          </w:p>
        </w:tc>
      </w:tr>
      <w:tr>
        <w:tc>
          <w:tcPr>
            <w:tcW w:type="dxa" w:w="4703"/>
          </w:tcPr>
          <w:p>
            <w:r>
              <w:rPr>
                <w:sz w:val="18"/>
              </w:rPr>
              <w:t>Ad Server Type</w:t>
            </w:r>
          </w:p>
        </w:tc>
        <w:tc>
          <w:tcPr>
            <w:tcW w:type="dxa" w:w="4703"/>
          </w:tcPr>
          <w:p>
            <w:r>
              <w:rPr>
                <w:sz w:val="18"/>
              </w:rPr>
              <w:t>Google Ad Manager (GAM)</w:t>
            </w:r>
          </w:p>
        </w:tc>
      </w:tr>
      <w:tr>
        <w:tc>
          <w:tcPr>
            <w:tcW w:type="dxa" w:w="4703"/>
          </w:tcPr>
          <w:p>
            <w:r>
              <w:rPr>
                <w:sz w:val="18"/>
              </w:rPr>
              <w:t>Protocolo de conexión</w:t>
            </w:r>
          </w:p>
        </w:tc>
        <w:tc>
          <w:tcPr>
            <w:tcW w:type="dxa" w:w="4703"/>
          </w:tcPr>
          <w:p>
            <w:r>
              <w:rPr>
                <w:sz w:val="18"/>
              </w:rPr>
              <w:t>REST API</w:t>
            </w:r>
          </w:p>
        </w:tc>
      </w:tr>
      <w:tr>
        <w:tc>
          <w:tcPr>
            <w:tcW w:type="dxa" w:w="4703"/>
          </w:tcPr>
          <w:p>
            <w:r>
              <w:rPr>
                <w:sz w:val="18"/>
              </w:rPr>
              <w:t>Autenticación</w:t>
            </w:r>
          </w:p>
        </w:tc>
        <w:tc>
          <w:tcPr>
            <w:tcW w:type="dxa" w:w="4703"/>
          </w:tcPr>
          <w:p>
            <w:r>
              <w:rPr>
                <w:sz w:val="18"/>
              </w:rPr>
              <w:t>OAuth 2.0 Service Account</w:t>
            </w:r>
          </w:p>
        </w:tc>
      </w:tr>
      <w:tr>
        <w:tc>
          <w:tcPr>
            <w:tcW w:type="dxa" w:w="4703"/>
          </w:tcPr>
          <w:p>
            <w:r>
              <w:rPr>
                <w:sz w:val="18"/>
              </w:rPr>
              <w:t>Objeto de configuración</w:t>
            </w:r>
          </w:p>
        </w:tc>
        <w:tc>
          <w:tcPr>
            <w:tcW w:type="dxa" w:w="4703"/>
          </w:tcPr>
          <w:p>
            <w:r>
              <w:rPr>
                <w:sz w:val="18"/>
              </w:rPr>
              <w:t>Registro Ad Server en Salesforce</w:t>
            </w:r>
          </w:p>
        </w:tc>
      </w:tr>
    </w:tbl>
    <w:p>
      <w:pPr>
        <w:spacing w:after="80"/>
      </w:pPr>
    </w:p>
    <w:p>
      <w:pPr>
        <w:spacing w:before="140" w:after="80"/>
      </w:pPr>
      <w:r>
        <w:rPr>
          <w:b/>
          <w:i w:val="0"/>
          <w:color w:val="0070D2"/>
          <w:sz w:val="24"/>
        </w:rPr>
        <w:t>4.2 Aprovisionamiento Flow — Primer End-to-End</w:t>
      </w:r>
    </w:p>
    <w:p>
      <w:pPr>
        <w:pStyle w:val="ListNumber"/>
        <w:spacing w:after="40"/>
      </w:pPr>
      <w:r>
        <w:rPr>
          <w:b w:val="0"/>
          <w:i w:val="0"/>
          <w:sz w:val="18"/>
        </w:rPr>
        <w:t>1. Order activada en Salesforce — El Sales Rep activa la Order en Salesforce. Status cambia de "Draft" a "Activated".</w:t>
      </w:r>
    </w:p>
    <w:p>
      <w:pPr>
        <w:pStyle w:val="ListNumber"/>
        <w:spacing w:after="40"/>
      </w:pPr>
      <w:r>
        <w:rPr>
          <w:b w:val="0"/>
          <w:i w:val="0"/>
          <w:sz w:val="18"/>
        </w:rPr>
        <w:t>2. DRO Order Fulfillment Flow ejecutado — El trigger de activación dispara automáticamente el DRO Order Fulfillment Flow. Se construye el payload con los datos del Line Item.</w:t>
      </w:r>
    </w:p>
    <w:p>
      <w:pPr>
        <w:pStyle w:val="ListNumber"/>
        <w:spacing w:after="40"/>
      </w:pPr>
      <w:r>
        <w:rPr>
          <w:b w:val="0"/>
          <w:i w:val="0"/>
          <w:sz w:val="18"/>
        </w:rPr>
        <w:t>3. Payload enviado a GAM REST API — Salesforce envía el payload de aprovisionamiento al endpoint REST de Google Ad Manager, autenticado con OAuth 2.0 Service Account.</w:t>
      </w:r>
    </w:p>
    <w:p>
      <w:pPr>
        <w:pStyle w:val="ListNumber"/>
        <w:spacing w:after="40"/>
      </w:pPr>
      <w:r>
        <w:rPr>
          <w:b w:val="0"/>
          <w:i w:val="0"/>
          <w:sz w:val="18"/>
        </w:rPr>
        <w:t>4. GAM crea Line Item en el Ad Server — Google Ad Manager procesa el payload y crea el Line Item correspondiente en el sistema de ad serving.</w:t>
      </w:r>
    </w:p>
    <w:p>
      <w:pPr>
        <w:pStyle w:val="ListNumber"/>
        <w:spacing w:after="40"/>
      </w:pPr>
      <w:r>
        <w:rPr>
          <w:b w:val="0"/>
          <w:i w:val="0"/>
          <w:sz w:val="18"/>
        </w:rPr>
        <w:t>5. GAM responde con Line Item ID — GAM devuelve el identificador único del Line Item creado. Este ID es el enlace entre Salesforce y el Ad Server.</w:t>
      </w:r>
    </w:p>
    <w:p>
      <w:pPr>
        <w:pStyle w:val="ListNumber"/>
        <w:spacing w:after="40"/>
      </w:pPr>
      <w:r>
        <w:rPr>
          <w:b w:val="0"/>
          <w:i w:val="0"/>
          <w:sz w:val="18"/>
        </w:rPr>
        <w:t>6. Salesforce actualiza Fulfillment Status: "Provisioned" — El campo Fulfillment Status en el registro de Order se actualiza a "Provisioned", confirmando el aprovisionamiento exitoso.</w:t>
      </w:r>
    </w:p>
    <w:p>
      <w:pPr>
        <w:pStyle w:val="ListNumber"/>
        <w:spacing w:after="40"/>
      </w:pPr>
      <w:r>
        <w:rPr>
          <w:b w:val="0"/>
          <w:i w:val="0"/>
          <w:sz w:val="18"/>
        </w:rPr>
        <w:t>7. Ad Order Item vinculado al GAM Line Item ID — El Ad Order Item en Salesforce queda vinculado al Line Item ID de GAM, habilitando el monitoreo y reconciliación posterior.</w:t>
      </w:r>
    </w:p>
    <w:p>
      <w:pPr>
        <w:spacing w:before="140" w:after="80"/>
      </w:pPr>
      <w:r>
        <w:rPr>
          <w:b/>
          <w:i w:val="0"/>
          <w:color w:val="0070D2"/>
          <w:sz w:val="24"/>
        </w:rPr>
        <w:t>4.3 Modelo de Datos Ad Server</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Objeto</w:t>
            </w:r>
          </w:p>
        </w:tc>
        <w:tc>
          <w:tcPr>
            <w:tcW w:type="dxa" w:w="4703"/>
            <w:shd w:val="clear" w:color="auto" w:fill="002060"/>
          </w:tcPr>
          <w:p>
            <w:r>
              <w:rPr>
                <w:b/>
                <w:color w:val="FFFFFF"/>
                <w:sz w:val="18"/>
              </w:rPr>
              <w:t>Descripción</w:t>
            </w:r>
          </w:p>
        </w:tc>
      </w:tr>
      <w:tr>
        <w:tc>
          <w:tcPr>
            <w:tcW w:type="dxa" w:w="4703"/>
          </w:tcPr>
          <w:p>
            <w:r>
              <w:rPr>
                <w:sz w:val="18"/>
              </w:rPr>
              <w:t>Ad Server</w:t>
            </w:r>
          </w:p>
        </w:tc>
        <w:tc>
          <w:tcPr>
            <w:tcW w:type="dxa" w:w="4703"/>
          </w:tcPr>
          <w:p>
            <w:r>
              <w:rPr>
                <w:sz w:val="18"/>
              </w:rPr>
              <w:t>Parámetros técnicos del servidor externo. Contiene URL, credenciales OAuth, tipo de Ad Server (GAM, Advantage Serve) y configuración de conexión.</w:t>
            </w:r>
          </w:p>
        </w:tc>
      </w:tr>
      <w:tr>
        <w:tc>
          <w:tcPr>
            <w:tcW w:type="dxa" w:w="4703"/>
          </w:tcPr>
          <w:p>
            <w:r>
              <w:rPr>
                <w:sz w:val="18"/>
              </w:rPr>
              <w:t>Ad Server Account</w:t>
            </w:r>
          </w:p>
        </w:tc>
        <w:tc>
          <w:tcPr>
            <w:tcW w:type="dxa" w:w="4703"/>
          </w:tcPr>
          <w:p>
            <w:r>
              <w:rPr>
                <w:sz w:val="18"/>
              </w:rPr>
              <w:t>Vincula el Ad Server con una cuenta o marca específica del anunciante. Permite múltiples cuentas por Ad Server.</w:t>
            </w:r>
          </w:p>
        </w:tc>
      </w:tr>
      <w:tr>
        <w:tc>
          <w:tcPr>
            <w:tcW w:type="dxa" w:w="4703"/>
          </w:tcPr>
          <w:p>
            <w:r>
              <w:rPr>
                <w:sz w:val="18"/>
              </w:rPr>
              <w:t>Ad Server Account Contact</w:t>
            </w:r>
          </w:p>
        </w:tc>
        <w:tc>
          <w:tcPr>
            <w:tcW w:type="dxa" w:w="4703"/>
          </w:tcPr>
          <w:p>
            <w:r>
              <w:rPr>
                <w:sz w:val="18"/>
              </w:rPr>
              <w:t>Conecta el Ad Server Account con el contacto de la agencia o anunciante responsable del Ad Server.</w:t>
            </w:r>
          </w:p>
        </w:tc>
      </w:tr>
      <w:tr>
        <w:tc>
          <w:tcPr>
            <w:tcW w:type="dxa" w:w="4703"/>
          </w:tcPr>
          <w:p>
            <w:r>
              <w:rPr>
                <w:sz w:val="18"/>
              </w:rPr>
              <w:t>Ad Server User</w:t>
            </w:r>
          </w:p>
        </w:tc>
        <w:tc>
          <w:tcPr>
            <w:tcW w:type="dxa" w:w="4703"/>
          </w:tcPr>
          <w:p>
            <w:r>
              <w:rPr>
                <w:sz w:val="18"/>
              </w:rPr>
              <w:t>Mapea el Ad Server con el usuario interno de Salesforce (Media Planner o Sales Rep) que gestiona las campañas.</w:t>
            </w:r>
          </w:p>
        </w:tc>
      </w:tr>
    </w:tbl>
    <w:p>
      <w:pPr>
        <w:spacing w:after="80"/>
      </w:pPr>
    </w:p>
    <w:p>
      <w:pPr>
        <w:spacing w:before="240" w:after="80"/>
      </w:pPr>
      <w:r>
        <w:rPr>
          <w:b/>
          <w:i w:val="0"/>
          <w:color w:val="002060"/>
          <w:sz w:val="28"/>
        </w:rPr>
        <w:t>§5  Modelo de Datos — Bloque Productos y Precios</w:t>
      </w:r>
    </w:p>
    <w:p>
      <w:pPr>
        <w:spacing w:before="40" w:after="80"/>
      </w:pPr>
      <w:r>
        <w:rPr>
          <w:b w:val="0"/>
          <w:i w:val="0"/>
          <w:color w:val="555577"/>
          <w:sz w:val="20"/>
        </w:rPr>
        <w:t>El catálogo de 12 productos se estructura sobre 7 objetos del modelo de datos de Salesforce Media Cloud. Cada capa tiene una responsabilidad específica en la jerarquía de producto.</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Objeto</w:t>
            </w:r>
          </w:p>
        </w:tc>
        <w:tc>
          <w:tcPr>
            <w:tcW w:type="dxa" w:w="4703"/>
            <w:shd w:val="clear" w:color="auto" w:fill="002060"/>
          </w:tcPr>
          <w:p>
            <w:r>
              <w:rPr>
                <w:b/>
                <w:color w:val="FFFFFF"/>
                <w:sz w:val="18"/>
              </w:rPr>
              <w:t>Descripción y rol</w:t>
            </w:r>
          </w:p>
        </w:tc>
      </w:tr>
      <w:tr>
        <w:tc>
          <w:tcPr>
            <w:tcW w:type="dxa" w:w="4703"/>
          </w:tcPr>
          <w:p>
            <w:r>
              <w:rPr>
                <w:sz w:val="18"/>
              </w:rPr>
              <w:t>Product Catalog</w:t>
            </w:r>
          </w:p>
        </w:tc>
        <w:tc>
          <w:tcPr>
            <w:tcW w:type="dxa" w:w="4703"/>
          </w:tcPr>
          <w:p>
            <w:r>
              <w:rPr>
                <w:sz w:val="18"/>
              </w:rPr>
              <w:t>Agrupación de alto nivel. Define el catálogo completo al que pertenecen los productos. Ejemplo: 'Catálogo Digital TV Azteca' .</w:t>
            </w:r>
          </w:p>
        </w:tc>
      </w:tr>
      <w:tr>
        <w:tc>
          <w:tcPr>
            <w:tcW w:type="dxa" w:w="4703"/>
          </w:tcPr>
          <w:p>
            <w:r>
              <w:rPr>
                <w:sz w:val="18"/>
              </w:rPr>
              <w:t>ProductCategory</w:t>
            </w:r>
          </w:p>
        </w:tc>
        <w:tc>
          <w:tcPr>
            <w:tcW w:type="dxa" w:w="4703"/>
          </w:tcPr>
          <w:p>
            <w:r>
              <w:rPr>
                <w:sz w:val="18"/>
              </w:rPr>
              <w:t>Grupos temáticos dentro del catálogo: Streaming, Digital Display, Patrocinio, Servicios . Permite clasificación y filtrado en Browse Products.</w:t>
            </w:r>
          </w:p>
        </w:tc>
      </w:tr>
      <w:tr>
        <w:tc>
          <w:tcPr>
            <w:tcW w:type="dxa" w:w="4703"/>
          </w:tcPr>
          <w:p>
            <w:r>
              <w:rPr>
                <w:sz w:val="18"/>
              </w:rPr>
              <w:t>Product2</w:t>
            </w:r>
          </w:p>
        </w:tc>
        <w:tc>
          <w:tcPr>
            <w:tcW w:type="dxa" w:w="4703"/>
          </w:tcPr>
          <w:p>
            <w:r>
              <w:rPr>
                <w:sz w:val="18"/>
              </w:rPr>
              <w:t>Ítem vendible. Puede ser un producto simple o un paquete (Bundle). Es el objeto central del catálogo — nunca se elimina .</w:t>
            </w:r>
          </w:p>
        </w:tc>
      </w:tr>
      <w:tr>
        <w:tc>
          <w:tcPr>
            <w:tcW w:type="dxa" w:w="4703"/>
          </w:tcPr>
          <w:p>
            <w:r>
              <w:rPr>
                <w:sz w:val="18"/>
              </w:rPr>
              <w:t>Product Classification</w:t>
            </w:r>
          </w:p>
        </w:tc>
        <w:tc>
          <w:tcPr>
            <w:tcW w:type="dxa" w:w="4703"/>
          </w:tcPr>
          <w:p>
            <w:r>
              <w:rPr>
                <w:sz w:val="18"/>
              </w:rPr>
              <w:t>Plantilla reutilizable de atributos compartidos entre productos de la misma categoría o tipo comercial.</w:t>
            </w:r>
          </w:p>
        </w:tc>
      </w:tr>
      <w:tr>
        <w:tc>
          <w:tcPr>
            <w:tcW w:type="dxa" w:w="4703"/>
          </w:tcPr>
          <w:p>
            <w:r>
              <w:rPr>
                <w:sz w:val="18"/>
              </w:rPr>
              <w:t>Product Attribute Definition</w:t>
            </w:r>
          </w:p>
        </w:tc>
        <w:tc>
          <w:tcPr>
            <w:tcW w:type="dxa" w:w="4703"/>
          </w:tcPr>
          <w:p>
            <w:r>
              <w:rPr>
                <w:sz w:val="18"/>
              </w:rPr>
              <w:t>Variables configurables del producto: Rate Type (CPM/CPC/FIJO), Es omitible, Duración, Plataforma, Formato.</w:t>
            </w:r>
          </w:p>
        </w:tc>
      </w:tr>
      <w:tr>
        <w:tc>
          <w:tcPr>
            <w:tcW w:type="dxa" w:w="4703"/>
          </w:tcPr>
          <w:p>
            <w:r>
              <w:rPr>
                <w:sz w:val="18"/>
              </w:rPr>
              <w:t>Price Book</w:t>
            </w:r>
          </w:p>
        </w:tc>
        <w:tc>
          <w:tcPr>
            <w:tcW w:type="dxa" w:w="4703"/>
          </w:tcPr>
          <w:p>
            <w:r>
              <w:rPr>
                <w:sz w:val="18"/>
              </w:rPr>
              <w:t>Standard Price Book — lista maestra de precios. Contiene todas las tarifas base del catálogo digital.</w:t>
            </w:r>
          </w:p>
        </w:tc>
      </w:tr>
      <w:tr>
        <w:tc>
          <w:tcPr>
            <w:tcW w:type="dxa" w:w="4703"/>
          </w:tcPr>
          <w:p>
            <w:r>
              <w:rPr>
                <w:sz w:val="18"/>
              </w:rPr>
              <w:t>Price Book Entry</w:t>
            </w:r>
          </w:p>
        </w:tc>
        <w:tc>
          <w:tcPr>
            <w:tcW w:type="dxa" w:w="4703"/>
          </w:tcPr>
          <w:p>
            <w:r>
              <w:rPr>
                <w:sz w:val="18"/>
              </w:rPr>
              <w:t>Tarifa base de un producto específico en el Price Book. Actualizada por el script cuando el precio cambia (lógica delta).</w:t>
            </w:r>
          </w:p>
        </w:tc>
      </w:tr>
    </w:tbl>
    <w:p>
      <w:pPr>
        <w:spacing w:after="80"/>
      </w:pPr>
    </w:p>
    <w:p>
      <w:pPr>
        <w:spacing w:before="240" w:after="80"/>
      </w:pPr>
      <w:r>
        <w:rPr>
          <w:b/>
          <w:i w:val="0"/>
          <w:color w:val="002060"/>
          <w:sz w:val="28"/>
        </w:rPr>
        <w:t>Demo — Sprint 3</w:t>
      </w:r>
    </w:p>
    <w:p>
      <w:pPr>
        <w:spacing w:before="40" w:after="80"/>
      </w:pPr>
      <w:r>
        <w:rPr>
          <w:b w:val="0"/>
          <w:i w:val="0"/>
          <w:color w:val="555577"/>
          <w:sz w:val="20"/>
        </w:rPr>
        <w:t>Recorrido en pantalla de las configuraciones del Sprint 3: Context Service, DRO Setup y Aprovisionamiento GAM.</w:t>
      </w:r>
    </w:p>
    <w:p>
      <w:pPr>
        <w:spacing w:before="240" w:after="80"/>
      </w:pPr>
      <w:r>
        <w:rPr>
          <w:b/>
          <w:i w:val="0"/>
          <w:color w:val="002060"/>
          <w:sz w:val="28"/>
        </w:rPr>
        <w:t>§7  User Stories</w:t>
      </w:r>
    </w:p>
    <w:p>
      <w:pPr>
        <w:spacing w:after="40"/>
      </w:pPr>
      <w:r>
        <w:rPr>
          <w:b/>
          <w:i w:val="0"/>
          <w:color w:val="E8B84B"/>
          <w:sz w:val="18"/>
        </w:rPr>
        <w:t xml:space="preserve">PR1066114-79  </w:t>
      </w:r>
      <w:r>
        <w:rPr>
          <w:b/>
          <w:i w:val="0"/>
          <w:sz w:val="18"/>
        </w:rPr>
        <w:t>PCM — Catálogo expandido a 12 productos digitales completos</w:t>
      </w:r>
    </w:p>
    <w:p>
      <w:pPr>
        <w:spacing w:after="40"/>
      </w:pPr>
      <w:r>
        <w:rPr>
          <w:b/>
          <w:i w:val="0"/>
          <w:color w:val="E8B84B"/>
          <w:sz w:val="18"/>
        </w:rPr>
        <w:t xml:space="preserve">PR1066114-81  </w:t>
      </w:r>
      <w:r>
        <w:rPr>
          <w:b/>
          <w:i w:val="0"/>
          <w:sz w:val="18"/>
        </w:rPr>
        <w:t>PCM — Ad Space Specs configuradas para los 12 productos</w:t>
      </w:r>
    </w:p>
    <w:p>
      <w:pPr>
        <w:spacing w:after="40"/>
      </w:pPr>
      <w:r>
        <w:rPr>
          <w:b/>
          <w:i w:val="0"/>
          <w:color w:val="E8B84B"/>
          <w:sz w:val="18"/>
        </w:rPr>
        <w:t xml:space="preserve">PR1066114-265  </w:t>
      </w:r>
      <w:r>
        <w:rPr>
          <w:b/>
          <w:i w:val="0"/>
          <w:sz w:val="18"/>
        </w:rPr>
        <w:t>Context Service — Habilitación en la Org</w:t>
      </w:r>
    </w:p>
    <w:p>
      <w:pPr>
        <w:spacing w:after="40"/>
      </w:pPr>
      <w:r>
        <w:rPr>
          <w:b/>
          <w:i w:val="0"/>
          <w:color w:val="E8B84B"/>
          <w:sz w:val="18"/>
        </w:rPr>
        <w:t xml:space="preserve">PR1066114-267  </w:t>
      </w:r>
      <w:r>
        <w:rPr>
          <w:b/>
          <w:i w:val="0"/>
          <w:sz w:val="18"/>
        </w:rPr>
        <w:t>Context Definitions — TVAM_MediaPlanTransactionCtx configurado</w:t>
      </w:r>
    </w:p>
    <w:p>
      <w:pPr>
        <w:spacing w:after="40"/>
      </w:pPr>
      <w:r>
        <w:rPr>
          <w:b/>
          <w:i w:val="0"/>
          <w:color w:val="E8B84B"/>
          <w:sz w:val="18"/>
        </w:rPr>
        <w:t xml:space="preserve">PR1066114-91  </w:t>
      </w:r>
      <w:r>
        <w:rPr>
          <w:b/>
          <w:i w:val="0"/>
          <w:sz w:val="18"/>
        </w:rPr>
        <w:t>DRO Setup — Dynamic Revenue Orchestrator habilitado</w:t>
      </w:r>
    </w:p>
    <w:p>
      <w:pPr>
        <w:spacing w:after="40"/>
      </w:pPr>
      <w:r>
        <w:rPr>
          <w:b/>
          <w:i w:val="0"/>
          <w:color w:val="E8B84B"/>
          <w:sz w:val="18"/>
        </w:rPr>
        <w:t xml:space="preserve">PR1066114-94  </w:t>
      </w:r>
      <w:r>
        <w:rPr>
          <w:b/>
          <w:i w:val="0"/>
          <w:sz w:val="18"/>
        </w:rPr>
        <w:t>DRO Setup — Fulfillment Flows configurados (Fulfillment, Amendment, Cancellation)</w:t>
      </w:r>
    </w:p>
    <w:p>
      <w:pPr>
        <w:spacing w:after="40"/>
      </w:pPr>
      <w:r>
        <w:rPr>
          <w:b/>
          <w:i w:val="0"/>
          <w:color w:val="E8B84B"/>
          <w:sz w:val="18"/>
        </w:rPr>
        <w:t xml:space="preserve">PR1066114-285  </w:t>
      </w:r>
      <w:r>
        <w:rPr>
          <w:b/>
          <w:i w:val="0"/>
          <w:sz w:val="18"/>
        </w:rPr>
        <w:t>Ad Server Integration — GAM REST API con OAuth 2.0 Service Account</w:t>
      </w:r>
    </w:p>
    <w:p>
      <w:pPr>
        <w:spacing w:after="40"/>
      </w:pPr>
      <w:r>
        <w:rPr>
          <w:b/>
          <w:i w:val="0"/>
          <w:color w:val="E8B84B"/>
          <w:sz w:val="18"/>
        </w:rPr>
        <w:t xml:space="preserve">PR1066114-101  </w:t>
      </w:r>
      <w:r>
        <w:rPr>
          <w:b/>
          <w:i w:val="0"/>
          <w:sz w:val="18"/>
        </w:rPr>
        <w:t>Primer aprovisionamiento end-to-end a Google Ad Manager</w:t>
      </w:r>
    </w:p>
    <w:p>
      <w:pPr>
        <w:spacing w:after="40"/>
      </w:pPr>
      <w:r>
        <w:rPr>
          <w:b/>
          <w:i w:val="0"/>
          <w:color w:val="E8B84B"/>
          <w:sz w:val="18"/>
        </w:rPr>
        <w:t xml:space="preserve">PR1066114-114  </w:t>
      </w:r>
      <w:r>
        <w:rPr>
          <w:b/>
          <w:i w:val="0"/>
          <w:sz w:val="18"/>
        </w:rPr>
        <w:t>Segmentaciones de productos expandidas — Geo Targeting 32 estados, Audience Segment</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2060"/>
          </w:tcPr>
          <w:p>
            <w:pPr>
              <w:spacing w:before="280" w:after="80"/>
              <w:jc w:val="center"/>
            </w:pPr>
            <w:r>
              <w:rPr>
                <w:b/>
                <w:i w:val="0"/>
                <w:color w:val="E8B84B"/>
                <w:sz w:val="56"/>
              </w:rPr>
              <w:t>SPRINT  4</w:t>
            </w:r>
          </w:p>
          <w:p>
            <w:pPr>
              <w:spacing w:before="40" w:after="280"/>
              <w:jc w:val="center"/>
            </w:pPr>
            <w:r>
              <w:rPr>
                <w:b w:val="0"/>
                <w:i w:val="0"/>
                <w:color w:val="C0D4FF"/>
                <w:sz w:val="26"/>
              </w:rPr>
              <w:t>In-Flight Amendments y Nomenclaturas 2026</w:t>
            </w:r>
          </w:p>
        </w:tc>
      </w:tr>
    </w:tbl>
    <w:p>
      <w:pPr>
        <w:spacing w:after="120"/>
      </w:pPr>
    </w:p>
    <w:p>
      <w:pPr>
        <w:spacing w:before="40" w:after="40"/>
      </w:pPr>
      <w:r>
        <w:rPr>
          <w:b/>
          <w:i w:val="0"/>
          <w:color w:val="E8B84B"/>
          <w:sz w:val="16"/>
        </w:rPr>
        <w:t>Knowledge Transfer · Release 1</w:t>
      </w:r>
    </w:p>
    <w:p>
      <w:pPr>
        <w:spacing w:before="240" w:after="80"/>
      </w:pPr>
      <w:r>
        <w:rPr>
          <w:b/>
          <w:i w:val="0"/>
          <w:color w:val="0070D2"/>
          <w:sz w:val="36"/>
        </w:rPr>
        <w:t>In-Flight Amendments, Nomenclaturas 2026 y Etapas de Cotización</w:t>
      </w:r>
    </w:p>
    <w:p>
      <w:pPr>
        <w:spacing w:before="40" w:after="80"/>
      </w:pPr>
      <w:r>
        <w:rPr>
          <w:b w:val="0"/>
          <w:i w:val="0"/>
          <w:color w:val="555577"/>
          <w:sz w:val="20"/>
        </w:rPr>
        <w:t>Modificaciones de órdenes en vuelo, estándares de nomenclatura y etapas de cotización formalizadas</w:t>
      </w:r>
    </w:p>
    <w:p>
      <w:pPr>
        <w:spacing w:before="40" w:after="40"/>
        <w:pBdr>
          <w:bottom w:val="single" w:sz="4" w:space="1" w:color="002060"/>
        </w:pBdr>
      </w:pPr>
    </w:p>
    <w:p>
      <w:pPr>
        <w:spacing w:before="240" w:after="80"/>
      </w:pPr>
      <w:r>
        <w:rPr>
          <w:b/>
          <w:i w:val="0"/>
          <w:color w:val="002060"/>
          <w:sz w:val="28"/>
        </w:rPr>
        <w:t>§1  In-Flight Amendments</w:t>
      </w:r>
    </w:p>
    <w:p>
      <w:pPr>
        <w:spacing w:before="140" w:after="80"/>
      </w:pPr>
      <w:r>
        <w:rPr>
          <w:b/>
          <w:i w:val="0"/>
          <w:color w:val="0070D2"/>
          <w:sz w:val="24"/>
        </w:rPr>
        <w:t>1.1 Qué son los In-Flight Amendments</w:t>
      </w:r>
    </w:p>
    <w:p>
      <w:pPr>
        <w:spacing w:before="140" w:after="80"/>
      </w:pPr>
      <w:r>
        <w:rPr>
          <w:b/>
          <w:i w:val="0"/>
          <w:color w:val="0070D2"/>
          <w:sz w:val="24"/>
        </w:rPr>
        <w:t>1.2 DRO Amendment Flow</w:t>
      </w:r>
    </w:p>
    <w:p>
      <w:pPr>
        <w:pStyle w:val="ListNumber"/>
        <w:spacing w:after="40"/>
      </w:pPr>
      <w:r>
        <w:rPr>
          <w:b w:val="0"/>
          <w:i w:val="0"/>
          <w:sz w:val="18"/>
        </w:rPr>
        <w:t>1. Ad Operations recibe solicitud de cambio en orden activa — El equipo de Ad Ops recibe la solicitud de modificación del cliente o del equipo de ventas sobre una orden con entrega en curso.</w:t>
      </w:r>
    </w:p>
    <w:p>
      <w:pPr>
        <w:pStyle w:val="ListNumber"/>
        <w:spacing w:after="40"/>
      </w:pPr>
      <w:r>
        <w:rPr>
          <w:b w:val="0"/>
          <w:i w:val="0"/>
          <w:sz w:val="18"/>
        </w:rPr>
        <w:t>2. Se accede a Order → Amendment button — Desde el registro de Order en Salesforce, se utiliza el botón Amendment disponible en el layout de la orden activa.</w:t>
      </w:r>
    </w:p>
    <w:p>
      <w:pPr>
        <w:pStyle w:val="ListNumber"/>
        <w:spacing w:after="40"/>
      </w:pPr>
      <w:r>
        <w:rPr>
          <w:b w:val="0"/>
          <w:i w:val="0"/>
          <w:sz w:val="18"/>
        </w:rPr>
        <w:t>3. DRO Amendment Flow ejecutado — El flujo de Salesforce Media Cloud para amendments es disparado automáticamente al confirmar la modificación.</w:t>
      </w:r>
    </w:p>
    <w:p>
      <w:pPr>
        <w:pStyle w:val="ListNumber"/>
        <w:spacing w:after="40"/>
      </w:pPr>
      <w:r>
        <w:rPr>
          <w:b w:val="0"/>
          <w:i w:val="0"/>
          <w:sz w:val="18"/>
        </w:rPr>
        <w:t>4. GAM actualiza Line Item sin interrumpir delivery — Google Ad Manager aplica los cambios al Line Item existente en tiempo real, manteniendo la entrega activa durante todo el proceso.</w:t>
      </w:r>
    </w:p>
    <w:p>
      <w:pPr>
        <w:spacing w:before="140" w:after="80"/>
      </w:pPr>
      <w:r>
        <w:rPr>
          <w:b/>
          <w:i w:val="0"/>
          <w:color w:val="0070D2"/>
          <w:sz w:val="24"/>
        </w:rPr>
        <w:t>1.3 Settings Habilitados en Sprint 4</w:t>
      </w:r>
    </w:p>
    <w:p>
      <w:pPr>
        <w:pStyle w:val="ListBullet"/>
        <w:spacing w:after="40"/>
      </w:pPr>
      <w:r>
        <w:rPr>
          <w:b w:val="0"/>
          <w:i w:val="0"/>
          <w:sz w:val="18"/>
        </w:rPr>
        <w:t>In-flight Amendments  [ON] — Activado este sprint — modificaciones en órdenes activas sin interrumpir delivery</w:t>
      </w:r>
    </w:p>
    <w:p>
      <w:pPr>
        <w:pStyle w:val="ListBullet"/>
        <w:spacing w:after="40"/>
      </w:pPr>
      <w:r>
        <w:rPr>
          <w:b w:val="0"/>
          <w:i w:val="0"/>
          <w:sz w:val="18"/>
        </w:rPr>
        <w:t>DRO Configuration Record  [ON] — Actualizado con parámetros de amendment y cancelación</w:t>
      </w:r>
    </w:p>
    <w:p>
      <w:pPr>
        <w:pStyle w:val="ListBullet"/>
        <w:spacing w:after="40"/>
      </w:pPr>
      <w:r>
        <w:rPr>
          <w:b w:val="0"/>
          <w:i w:val="0"/>
          <w:sz w:val="18"/>
        </w:rPr>
        <w:t>Linked Service Settings  [ON] — Configurados para soporte de operaciones in-flight</w:t>
      </w:r>
    </w:p>
    <w:p>
      <w:pPr>
        <w:pStyle w:val="ListBullet"/>
        <w:spacing w:after="40"/>
      </w:pPr>
      <w:r>
        <w:rPr>
          <w:b w:val="0"/>
          <w:i w:val="0"/>
          <w:sz w:val="18"/>
        </w:rPr>
        <w:t>Salesforce Flow Exchange  [ON] — Flujos de amendment registrados y activos en la Org</w:t>
      </w:r>
    </w:p>
    <w:p>
      <w:pPr>
        <w:spacing w:before="140" w:after="80"/>
      </w:pPr>
      <w:r>
        <w:rPr>
          <w:b/>
          <w:i w:val="0"/>
          <w:color w:val="0070D2"/>
          <w:sz w:val="24"/>
        </w:rPr>
        <w:t>1.4 DRO — In-flight Amendments</w:t>
      </w:r>
    </w:p>
    <w:p>
      <w:pPr>
        <w:spacing w:before="40" w:after="80"/>
      </w:pPr>
      <w:r>
        <w:rPr>
          <w:b w:val="0"/>
          <w:i w:val="0"/>
          <w:color w:val="555577"/>
          <w:sz w:val="20"/>
        </w:rPr>
        <w:t>Referencia visual del flujo de modificaciones en vuelo vía DRO — modificación de órdenes activas durante el vuelo de campaña.</w:t>
      </w:r>
    </w:p>
    <w:p>
      <w:pPr>
        <w:spacing w:before="240" w:after="80"/>
      </w:pPr>
      <w:r>
        <w:rPr>
          <w:b/>
          <w:i w:val="0"/>
          <w:color w:val="002060"/>
          <w:sz w:val="28"/>
        </w:rPr>
        <w:t>§2  Nomenclaturas 2026</w:t>
      </w:r>
    </w:p>
    <w:p>
      <w:pPr>
        <w:spacing w:before="40" w:after="80"/>
      </w:pPr>
      <w:r>
        <w:rPr>
          <w:b w:val="0"/>
          <w:i w:val="0"/>
          <w:color w:val="555577"/>
          <w:sz w:val="20"/>
        </w:rPr>
        <w:t>Los estándares de nomenclatura 2026 formalizan las convenciones de nombres para órdenes, líneas de pedido y artefactos de Salesforce de TV Azteca Media. Estas convenciones garantizan trazabilidad y consistencia en todo el catálogo digital.</w:t>
      </w:r>
    </w:p>
    <w:p>
      <w:pPr>
        <w:spacing w:before="140" w:after="80"/>
      </w:pPr>
      <w:r>
        <w:rPr>
          <w:b/>
          <w:i w:val="0"/>
          <w:color w:val="0070D2"/>
          <w:sz w:val="24"/>
        </w:rPr>
        <w:t>2.1 Estándar CPM</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w:t>
            </w:r>
          </w:p>
        </w:tc>
        <w:tc>
          <w:tcPr>
            <w:tcW w:type="dxa" w:w="4703"/>
            <w:shd w:val="clear" w:color="auto" w:fill="002060"/>
          </w:tcPr>
          <w:p>
            <w:r>
              <w:rPr>
                <w:b/>
                <w:color w:val="FFFFFF"/>
                <w:sz w:val="18"/>
              </w:rPr>
              <w:t>Valor</w:t>
            </w:r>
          </w:p>
        </w:tc>
      </w:tr>
      <w:tr>
        <w:tc>
          <w:tcPr>
            <w:tcW w:type="dxa" w:w="4703"/>
          </w:tcPr>
          <w:p>
            <w:r>
              <w:rPr>
                <w:sz w:val="18"/>
              </w:rPr>
              <w:t>Formato</w:t>
            </w:r>
          </w:p>
        </w:tc>
        <w:tc>
          <w:tcPr>
            <w:tcW w:type="dxa" w:w="4703"/>
          </w:tcPr>
          <w:p>
            <w:r>
              <w:rPr>
                <w:sz w:val="18"/>
              </w:rPr>
              <w:t>AZ-[ANUNCIANTE]-[PRODUCTO]-[MES]/[CódigoInterno]-[NúmeroLínea]</w:t>
            </w:r>
          </w:p>
        </w:tc>
      </w:tr>
    </w:tbl>
    <w:p>
      <w:pPr>
        <w:spacing w:after="80"/>
      </w:pPr>
    </w:p>
    <w:p>
      <w:pPr>
        <w:spacing w:after="80"/>
        <w:ind w:left="283"/>
      </w:pPr>
      <w:r>
        <w:rPr>
          <w:rFonts w:ascii="Courier New" w:hAnsi="Courier New"/>
          <w:b w:val="0"/>
          <w:i w:val="0"/>
          <w:color w:val="4080C0"/>
          <w:sz w:val="16"/>
        </w:rPr>
        <w:t>Ejemplo — Nomenclatura CPM nomenclatura AZ - TELCEL - POSPAGO - DICIEMBRE / N22024 - 69049 ┌─ AZ → Prefijo TV Azteca ├─ TELCEL → Nombre del anunciante ├─ POSPAGO → Nombre del producto/campaña ├─ DICIEMBRE → Mes de la campaña ├─ N22024 → Código interno de la orden └─ 69049 → Número de línea</w:t>
      </w:r>
    </w:p>
    <w:p>
      <w:pPr>
        <w:spacing w:before="140" w:after="80"/>
      </w:pPr>
      <w:r>
        <w:rPr>
          <w:b/>
          <w:i w:val="0"/>
          <w:color w:val="0070D2"/>
          <w:sz w:val="24"/>
        </w:rPr>
        <w:t>2.2 Estándar Patrocinio</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w:t>
            </w:r>
          </w:p>
        </w:tc>
        <w:tc>
          <w:tcPr>
            <w:tcW w:type="dxa" w:w="4703"/>
            <w:shd w:val="clear" w:color="auto" w:fill="002060"/>
          </w:tcPr>
          <w:p>
            <w:r>
              <w:rPr>
                <w:b/>
                <w:color w:val="FFFFFF"/>
                <w:sz w:val="18"/>
              </w:rPr>
              <w:t>Valor</w:t>
            </w:r>
          </w:p>
        </w:tc>
      </w:tr>
      <w:tr>
        <w:tc>
          <w:tcPr>
            <w:tcW w:type="dxa" w:w="4703"/>
          </w:tcPr>
          <w:p>
            <w:r>
              <w:rPr>
                <w:sz w:val="18"/>
              </w:rPr>
              <w:t>Formato</w:t>
            </w:r>
          </w:p>
        </w:tc>
        <w:tc>
          <w:tcPr>
            <w:tcW w:type="dxa" w:w="4703"/>
          </w:tcPr>
          <w:p>
            <w:r>
              <w:rPr>
                <w:sz w:val="18"/>
              </w:rPr>
              <w:t>AZ-[ANUNCIANTE]-PAT-[PROGRAMA]-[MES]</w:t>
            </w:r>
          </w:p>
        </w:tc>
      </w:tr>
    </w:tbl>
    <w:p>
      <w:pPr>
        <w:spacing w:after="80"/>
      </w:pPr>
    </w:p>
    <w:p>
      <w:pPr>
        <w:spacing w:after="80"/>
        <w:ind w:left="283"/>
      </w:pPr>
      <w:r>
        <w:rPr>
          <w:rFonts w:ascii="Courier New" w:hAnsi="Courier New"/>
          <w:b w:val="0"/>
          <w:i w:val="0"/>
          <w:color w:val="4080C0"/>
          <w:sz w:val="16"/>
        </w:rPr>
        <w:t>Ejemplos — Nomenclatura Patrocinio nomenclatura AZ - TELCEL - PAT - MUNDIAL - DICIEMBRE AZ - TELCEL - PAT - EXATLÓN - DICIEMBRE ┌─ AZ → Prefijo TV Azteca ├─ TELCEL → Nombre del anunciante ├─ PAT → Indicador de Patrocinio ├─ MUNDIAL → Nombre del programa patrocinado └─ DICIEMBRE → Mes del patrocinio</w:t>
      </w:r>
    </w:p>
    <w:p>
      <w:pPr>
        <w:spacing w:before="140" w:after="80"/>
      </w:pPr>
      <w:r>
        <w:rPr>
          <w:b/>
          <w:i w:val="0"/>
          <w:color w:val="0070D2"/>
          <w:sz w:val="24"/>
        </w:rPr>
        <w:t>2.3 Línea de Pedido</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w:t>
            </w:r>
          </w:p>
        </w:tc>
        <w:tc>
          <w:tcPr>
            <w:tcW w:type="dxa" w:w="4703"/>
            <w:shd w:val="clear" w:color="auto" w:fill="002060"/>
          </w:tcPr>
          <w:p>
            <w:r>
              <w:rPr>
                <w:b/>
                <w:color w:val="FFFFFF"/>
                <w:sz w:val="18"/>
              </w:rPr>
              <w:t>Valor</w:t>
            </w:r>
          </w:p>
        </w:tc>
      </w:tr>
      <w:tr>
        <w:tc>
          <w:tcPr>
            <w:tcW w:type="dxa" w:w="4703"/>
          </w:tcPr>
          <w:p>
            <w:r>
              <w:rPr>
                <w:sz w:val="18"/>
              </w:rPr>
              <w:t>Estructura</w:t>
            </w:r>
          </w:p>
        </w:tc>
        <w:tc>
          <w:tcPr>
            <w:tcW w:type="dxa" w:w="4703"/>
          </w:tcPr>
          <w:p>
            <w:r>
              <w:rPr>
                <w:sz w:val="18"/>
              </w:rPr>
              <w:t>[Plataforma] × [Tipo de Anuncio] × [Prioridad] × [Número de línea de orden]</w:t>
            </w:r>
          </w:p>
        </w:tc>
      </w:tr>
    </w:tbl>
    <w:p>
      <w:pPr>
        <w:spacing w:after="80"/>
      </w:pPr>
    </w:p>
    <w:p>
      <w:pPr>
        <w:spacing w:after="80"/>
        <w:ind w:left="283"/>
      </w:pPr>
      <w:r>
        <w:rPr>
          <w:rFonts w:ascii="Courier New" w:hAnsi="Courier New"/>
          <w:b w:val="0"/>
          <w:i w:val="0"/>
          <w:color w:val="4080C0"/>
          <w:sz w:val="16"/>
        </w:rPr>
        <w:t>Ejemplo — Línea de Pedido nomenclatura TVAztecaUno - PreRoll30s - Standard - 20241201 - LP001 ┌─ TVAztecaUno → Plataforma / Canal ├─ PreRoll30s → Tipo de anuncio y duración ├─ Standard → Prioridad de entrega ├─ 20241201 → Fecha de inicio (YYYYMMDD) └─ LP001 → Número secuencial de línea de pedido</w:t>
      </w:r>
    </w:p>
    <w:p>
      <w:pPr>
        <w:spacing w:before="240" w:after="80"/>
      </w:pPr>
      <w:r>
        <w:rPr>
          <w:b/>
          <w:i w:val="0"/>
          <w:color w:val="002060"/>
          <w:sz w:val="28"/>
        </w:rPr>
        <w:t>§3  Etapas de Cotización — Venta Directa</w:t>
      </w:r>
    </w:p>
    <w:p>
      <w:pPr>
        <w:spacing w:before="40" w:after="80"/>
      </w:pPr>
      <w:r>
        <w:rPr>
          <w:b w:val="0"/>
          <w:i w:val="0"/>
          <w:color w:val="555577"/>
          <w:sz w:val="20"/>
        </w:rPr>
        <w:t>Las etapas de cotización formalizan el ciclo de vida de una propuesta comercial, desde su creación hasta la aceptación o denegación por el cliente. TV Azteca adopta un subconjunto de los stages estándar de Salesforce con stages personalizados que reflejan el proceso interno.</w:t>
      </w:r>
    </w:p>
    <w:p>
      <w:pPr>
        <w:spacing w:before="140" w:after="80"/>
      </w:pPr>
      <w:r>
        <w:rPr>
          <w:b/>
          <w:i w:val="0"/>
          <w:color w:val="0070D2"/>
          <w:sz w:val="24"/>
        </w:rPr>
        <w:t>3.1 Salesforce Standard Quote Stages</w:t>
      </w:r>
    </w:p>
    <w:p>
      <w:pPr>
        <w:spacing w:before="140" w:after="80"/>
      </w:pPr>
      <w:r>
        <w:rPr>
          <w:b/>
          <w:i w:val="0"/>
          <w:color w:val="0070D2"/>
          <w:sz w:val="24"/>
        </w:rPr>
        <w:t>3.2 TV Azteca Custom Stages</w:t>
      </w:r>
    </w:p>
    <w:p>
      <w:pPr>
        <w:spacing w:before="140" w:after="80"/>
      </w:pPr>
      <w:r>
        <w:rPr>
          <w:b/>
          <w:i w:val="0"/>
          <w:color w:val="0070D2"/>
          <w:sz w:val="24"/>
        </w:rPr>
        <w:t>3.3 Descripción de Cada Etapa</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2060"/>
          </w:tcPr>
          <w:p>
            <w:r>
              <w:rPr>
                <w:b/>
                <w:color w:val="FFFFFF"/>
                <w:sz w:val="18"/>
              </w:rPr>
              <w:t>Etapa</w:t>
            </w:r>
          </w:p>
        </w:tc>
        <w:tc>
          <w:tcPr>
            <w:tcW w:type="dxa" w:w="2351"/>
            <w:shd w:val="clear" w:color="auto" w:fill="002060"/>
          </w:tcPr>
          <w:p>
            <w:r>
              <w:rPr>
                <w:b/>
                <w:color w:val="FFFFFF"/>
                <w:sz w:val="18"/>
              </w:rPr>
              <w:t>Responsable</w:t>
            </w:r>
          </w:p>
        </w:tc>
        <w:tc>
          <w:tcPr>
            <w:tcW w:type="dxa" w:w="2351"/>
            <w:shd w:val="clear" w:color="auto" w:fill="002060"/>
          </w:tcPr>
          <w:p>
            <w:r>
              <w:rPr>
                <w:b/>
                <w:color w:val="FFFFFF"/>
                <w:sz w:val="18"/>
              </w:rPr>
              <w:t>Descripción</w:t>
            </w:r>
          </w:p>
        </w:tc>
        <w:tc>
          <w:tcPr>
            <w:tcW w:type="dxa" w:w="2351"/>
            <w:shd w:val="clear" w:color="auto" w:fill="002060"/>
          </w:tcPr>
          <w:p>
            <w:r>
              <w:rPr>
                <w:b/>
                <w:color w:val="FFFFFF"/>
                <w:sz w:val="18"/>
              </w:rPr>
              <w:t>Acción Disponible</w:t>
            </w:r>
          </w:p>
        </w:tc>
      </w:tr>
      <w:tr>
        <w:tc>
          <w:tcPr>
            <w:tcW w:type="dxa" w:w="2351"/>
          </w:tcPr>
          <w:p>
            <w:r>
              <w:rPr>
                <w:sz w:val="18"/>
              </w:rPr>
              <w:t>Borrador</w:t>
            </w:r>
          </w:p>
        </w:tc>
        <w:tc>
          <w:tcPr>
            <w:tcW w:type="dxa" w:w="2351"/>
          </w:tcPr>
          <w:p>
            <w:r>
              <w:rPr>
                <w:sz w:val="18"/>
              </w:rPr>
              <w:t>Media Planner</w:t>
            </w:r>
          </w:p>
        </w:tc>
        <w:tc>
          <w:tcPr>
            <w:tcW w:type="dxa" w:w="2351"/>
          </w:tcPr>
          <w:p>
            <w:r>
              <w:rPr>
                <w:sz w:val="18"/>
              </w:rPr>
              <w:t>Propuesta en creación, editable libremente, visible solo internamente</w:t>
            </w:r>
          </w:p>
        </w:tc>
        <w:tc>
          <w:tcPr>
            <w:tcW w:type="dxa" w:w="2351"/>
          </w:tcPr>
          <w:p>
            <w:r>
              <w:rPr>
                <w:sz w:val="18"/>
              </w:rPr>
              <w:t>Editar, enviar a autorización</w:t>
            </w:r>
          </w:p>
        </w:tc>
      </w:tr>
      <w:tr>
        <w:tc>
          <w:tcPr>
            <w:tcW w:type="dxa" w:w="2351"/>
          </w:tcPr>
          <w:p>
            <w:r>
              <w:rPr>
                <w:sz w:val="18"/>
              </w:rPr>
              <w:t>En Autorización</w:t>
            </w:r>
          </w:p>
        </w:tc>
        <w:tc>
          <w:tcPr>
            <w:tcW w:type="dxa" w:w="2351"/>
          </w:tcPr>
          <w:p>
            <w:r>
              <w:rPr>
                <w:sz w:val="18"/>
              </w:rPr>
              <w:t>Director / Ad Sales Admin</w:t>
            </w:r>
          </w:p>
        </w:tc>
        <w:tc>
          <w:tcPr>
            <w:tcW w:type="dxa" w:w="2351"/>
          </w:tcPr>
          <w:p>
            <w:r>
              <w:rPr>
                <w:sz w:val="18"/>
              </w:rPr>
              <w:t>Enviada a dirección para aprobación interna</w:t>
            </w:r>
          </w:p>
        </w:tc>
        <w:tc>
          <w:tcPr>
            <w:tcW w:type="dxa" w:w="2351"/>
          </w:tcPr>
          <w:p>
            <w:r>
              <w:rPr>
                <w:sz w:val="18"/>
              </w:rPr>
              <w:t>Aprobar → En Presentación, Rechazar → Borrador</w:t>
            </w:r>
          </w:p>
        </w:tc>
      </w:tr>
      <w:tr>
        <w:tc>
          <w:tcPr>
            <w:tcW w:type="dxa" w:w="2351"/>
          </w:tcPr>
          <w:p>
            <w:r>
              <w:rPr>
                <w:sz w:val="18"/>
              </w:rPr>
              <w:t>En Presentación</w:t>
            </w:r>
          </w:p>
        </w:tc>
        <w:tc>
          <w:tcPr>
            <w:tcW w:type="dxa" w:w="2351"/>
          </w:tcPr>
          <w:p>
            <w:r>
              <w:rPr>
                <w:sz w:val="18"/>
              </w:rPr>
              <w:t>Ejecutivo de Ventas</w:t>
            </w:r>
          </w:p>
        </w:tc>
        <w:tc>
          <w:tcPr>
            <w:tcW w:type="dxa" w:w="2351"/>
          </w:tcPr>
          <w:p>
            <w:r>
              <w:rPr>
                <w:sz w:val="18"/>
              </w:rPr>
              <w:t>Aprobada internamente, enviada al cliente</w:t>
            </w:r>
          </w:p>
        </w:tc>
        <w:tc>
          <w:tcPr>
            <w:tcW w:type="dxa" w:w="2351"/>
          </w:tcPr>
          <w:p>
            <w:r>
              <w:rPr>
                <w:sz w:val="18"/>
              </w:rPr>
              <w:t>Marcar Aceptada o Denegada</w:t>
            </w:r>
          </w:p>
        </w:tc>
      </w:tr>
      <w:tr>
        <w:tc>
          <w:tcPr>
            <w:tcW w:type="dxa" w:w="2351"/>
          </w:tcPr>
          <w:p>
            <w:r>
              <w:rPr>
                <w:sz w:val="18"/>
              </w:rPr>
              <w:t>Aceptada</w:t>
            </w:r>
          </w:p>
        </w:tc>
        <w:tc>
          <w:tcPr>
            <w:tcW w:type="dxa" w:w="2351"/>
          </w:tcPr>
          <w:p>
            <w:r>
              <w:rPr>
                <w:sz w:val="18"/>
              </w:rPr>
              <w:t>Media Planner</w:t>
            </w:r>
          </w:p>
        </w:tc>
        <w:tc>
          <w:tcPr>
            <w:tcW w:type="dxa" w:w="2351"/>
          </w:tcPr>
          <w:p>
            <w:r>
              <w:rPr>
                <w:sz w:val="18"/>
              </w:rPr>
              <w:t>Cliente confirma compra</w:t>
            </w:r>
          </w:p>
        </w:tc>
        <w:tc>
          <w:tcPr>
            <w:tcW w:type="dxa" w:w="2351"/>
          </w:tcPr>
          <w:p>
            <w:r>
              <w:rPr>
                <w:sz w:val="18"/>
              </w:rPr>
              <w:t>Create Order</w:t>
            </w:r>
          </w:p>
        </w:tc>
      </w:tr>
      <w:tr>
        <w:tc>
          <w:tcPr>
            <w:tcW w:type="dxa" w:w="2351"/>
          </w:tcPr>
          <w:p>
            <w:r>
              <w:rPr>
                <w:sz w:val="18"/>
              </w:rPr>
              <w:t>Denegada</w:t>
            </w:r>
          </w:p>
        </w:tc>
        <w:tc>
          <w:tcPr>
            <w:tcW w:type="dxa" w:w="2351"/>
          </w:tcPr>
          <w:p>
            <w:r>
              <w:rPr>
                <w:sz w:val="18"/>
              </w:rPr>
              <w:t>Ejecutivo de Ventas</w:t>
            </w:r>
          </w:p>
        </w:tc>
        <w:tc>
          <w:tcPr>
            <w:tcW w:type="dxa" w:w="2351"/>
          </w:tcPr>
          <w:p>
            <w:r>
              <w:rPr>
                <w:sz w:val="18"/>
              </w:rPr>
              <w:t>Cliente rechaza la propuesta</w:t>
            </w:r>
          </w:p>
        </w:tc>
        <w:tc>
          <w:tcPr>
            <w:tcW w:type="dxa" w:w="2351"/>
          </w:tcPr>
          <w:p>
            <w:r>
              <w:rPr>
                <w:sz w:val="18"/>
              </w:rPr>
              <w:t>Crear nueva versión</w:t>
            </w:r>
          </w:p>
        </w:tc>
      </w:tr>
    </w:tbl>
    <w:p>
      <w:pPr>
        <w:spacing w:after="80"/>
      </w:pPr>
    </w:p>
    <w:p>
      <w:pPr>
        <w:spacing w:before="240" w:after="80"/>
      </w:pPr>
      <w:r>
        <w:rPr>
          <w:b/>
          <w:i w:val="0"/>
          <w:color w:val="002060"/>
          <w:sz w:val="28"/>
        </w:rPr>
        <w:t>§4  Diseño de Campaña — Actualizaciones Sprint 4</w:t>
      </w:r>
    </w:p>
    <w:p>
      <w:pPr>
        <w:spacing w:before="40" w:after="80"/>
      </w:pPr>
      <w:r>
        <w:rPr>
          <w:b w:val="0"/>
          <w:i w:val="0"/>
          <w:color w:val="555577"/>
          <w:sz w:val="20"/>
        </w:rPr>
        <w:t>Sprint 4 incorpora campos adicionales en el Ad Quote Line, validaciones de datos mejoradas y refinamientos en la interfaz de Media Planning Grid para fortalecer el proceso de cotización.</w:t>
      </w:r>
    </w:p>
    <w:p>
      <w:pPr>
        <w:spacing w:before="240" w:after="80"/>
      </w:pPr>
      <w:r>
        <w:rPr>
          <w:b/>
          <w:i w:val="0"/>
          <w:color w:val="002060"/>
          <w:sz w:val="28"/>
        </w:rPr>
        <w:t>§5  Complemento de Segmentaciones — Sprint 4</w:t>
      </w:r>
    </w:p>
    <w:p>
      <w:pPr>
        <w:spacing w:before="40" w:after="80"/>
      </w:pPr>
      <w:r>
        <w:rPr>
          <w:b w:val="0"/>
          <w:i w:val="0"/>
          <w:color w:val="555577"/>
          <w:sz w:val="20"/>
        </w:rPr>
        <w:t>Sprint 4 expande el módulo de targeting con junction objects adicionales, nuevos criterios de segmentación por producto y la verificación del cascading mechanism para asegurar coherencia entre niveles de targeting.</w:t>
      </w:r>
    </w:p>
    <w:p>
      <w:pPr>
        <w:spacing w:before="240" w:after="80"/>
      </w:pPr>
      <w:r>
        <w:rPr>
          <w:b/>
          <w:i w:val="0"/>
          <w:color w:val="002060"/>
          <w:sz w:val="28"/>
        </w:rPr>
        <w:t>§6  Modelo de Datos — Media Property</w:t>
      </w:r>
    </w:p>
    <w:p>
      <w:pPr>
        <w:spacing w:before="40" w:after="80"/>
      </w:pPr>
      <w:r>
        <w:rPr>
          <w:b w:val="0"/>
          <w:i w:val="0"/>
          <w:color w:val="555577"/>
          <w:sz w:val="20"/>
        </w:rPr>
        <w:t>El modelo de datos de Media Property define los objetos que representan los canales editoriales y espacios publicitarios de TV Azteca. La correcta configuración de este modelo es prerequisito para el aprovisionamiento en GAM.</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Objeto</w:t>
            </w:r>
          </w:p>
        </w:tc>
        <w:tc>
          <w:tcPr>
            <w:tcW w:type="dxa" w:w="3135"/>
            <w:shd w:val="clear" w:color="auto" w:fill="002060"/>
          </w:tcPr>
          <w:p>
            <w:r>
              <w:rPr>
                <w:b/>
                <w:color w:val="FFFFFF"/>
                <w:sz w:val="18"/>
              </w:rPr>
              <w:t>Descripción</w:t>
            </w:r>
          </w:p>
        </w:tc>
        <w:tc>
          <w:tcPr>
            <w:tcW w:type="dxa" w:w="3135"/>
            <w:shd w:val="clear" w:color="auto" w:fill="002060"/>
          </w:tcPr>
          <w:p>
            <w:r>
              <w:rPr>
                <w:b/>
                <w:color w:val="FFFFFF"/>
                <w:sz w:val="18"/>
              </w:rPr>
              <w:t>Nota Crítica</w:t>
            </w:r>
          </w:p>
        </w:tc>
      </w:tr>
      <w:tr>
        <w:tc>
          <w:tcPr>
            <w:tcW w:type="dxa" w:w="3135"/>
          </w:tcPr>
          <w:p>
            <w:r>
              <w:rPr>
                <w:sz w:val="18"/>
              </w:rPr>
              <w:t>Media Channel</w:t>
            </w:r>
          </w:p>
        </w:tc>
        <w:tc>
          <w:tcPr>
            <w:tcW w:type="dxa" w:w="3135"/>
          </w:tcPr>
          <w:p>
            <w:r>
              <w:rPr>
                <w:sz w:val="18"/>
              </w:rPr>
              <w:t>Propiedad editorial donde se publican anuncios</w:t>
            </w:r>
          </w:p>
        </w:tc>
        <w:tc>
          <w:tcPr>
            <w:tcW w:type="dxa" w:w="3135"/>
          </w:tcPr>
          <w:p>
            <w:r>
              <w:rPr>
                <w:sz w:val="18"/>
              </w:rPr>
              <w:t>Ejemplos: TV Azteca Uno, ADN40, A+, Canal 13</w:t>
            </w:r>
          </w:p>
        </w:tc>
      </w:tr>
      <w:tr>
        <w:tc>
          <w:tcPr>
            <w:tcW w:type="dxa" w:w="3135"/>
          </w:tcPr>
          <w:p>
            <w:r>
              <w:rPr>
                <w:sz w:val="18"/>
              </w:rPr>
              <w:t>Ad Space Specification</w:t>
            </w:r>
          </w:p>
        </w:tc>
        <w:tc>
          <w:tcPr>
            <w:tcW w:type="dxa" w:w="3135"/>
          </w:tcPr>
          <w:p>
            <w:r>
              <w:rPr>
                <w:sz w:val="18"/>
              </w:rPr>
              <w:t>Canal × Ubicación × Dispositivo — define el espacio publicitario específico</w:t>
            </w:r>
          </w:p>
        </w:tc>
        <w:tc>
          <w:tcPr>
            <w:tcW w:type="dxa" w:w="3135"/>
          </w:tcPr>
          <w:p>
            <w:r>
              <w:rPr>
                <w:sz w:val="18"/>
              </w:rPr>
              <w:t>CRÍTICO: AdServerId obligatorio</w:t>
            </w:r>
          </w:p>
        </w:tc>
      </w:tr>
      <w:tr>
        <w:tc>
          <w:tcPr>
            <w:tcW w:type="dxa" w:w="3135"/>
          </w:tcPr>
          <w:p>
            <w:r>
              <w:rPr>
                <w:sz w:val="18"/>
              </w:rPr>
              <w:t>Ad Creative Size Type</w:t>
            </w:r>
          </w:p>
        </w:tc>
        <w:tc>
          <w:tcPr>
            <w:tcW w:type="dxa" w:w="3135"/>
          </w:tcPr>
          <w:p>
            <w:r>
              <w:rPr>
                <w:sz w:val="18"/>
              </w:rPr>
              <w:t>Formatos aceptados para el espacio publicitario</w:t>
            </w:r>
          </w:p>
        </w:tc>
        <w:tc>
          <w:tcPr>
            <w:tcW w:type="dxa" w:w="3135"/>
          </w:tcPr>
          <w:p>
            <w:r>
              <w:rPr>
                <w:sz w:val="18"/>
              </w:rPr>
              <w:t>300×250, 728×90, Pre-roll 15s/30s, Skin</w:t>
            </w:r>
          </w:p>
        </w:tc>
      </w:tr>
      <w:tr>
        <w:tc>
          <w:tcPr>
            <w:tcW w:type="dxa" w:w="3135"/>
          </w:tcPr>
          <w:p>
            <w:r>
              <w:rPr>
                <w:sz w:val="18"/>
              </w:rPr>
              <w:t>Ad Space Spec Product</w:t>
            </w:r>
          </w:p>
        </w:tc>
        <w:tc>
          <w:tcPr>
            <w:tcW w:type="dxa" w:w="3135"/>
          </w:tcPr>
          <w:p>
            <w:r>
              <w:rPr>
                <w:sz w:val="18"/>
              </w:rPr>
              <w:t>PUENTE CRÍTICO: vincula AdSpaceSpecification con Product2</w:t>
            </w:r>
          </w:p>
        </w:tc>
        <w:tc>
          <w:tcPr>
            <w:tcW w:type="dxa" w:w="3135"/>
          </w:tcPr>
          <w:p>
            <w:r>
              <w:rPr>
                <w:sz w:val="18"/>
              </w:rPr>
              <w:t>Sin él el producto no aparece en Ad Placement</w:t>
            </w:r>
          </w:p>
        </w:tc>
      </w:tr>
    </w:tbl>
    <w:p>
      <w:pPr>
        <w:spacing w:after="80"/>
      </w:pPr>
    </w:p>
    <w:p>
      <w:pPr>
        <w:spacing w:before="240" w:after="80"/>
      </w:pPr>
      <w:r>
        <w:rPr>
          <w:b/>
          <w:i w:val="0"/>
          <w:color w:val="002060"/>
          <w:sz w:val="28"/>
        </w:rPr>
        <w:t>§7  User Stories</w:t>
      </w:r>
    </w:p>
    <w:p>
      <w:pPr>
        <w:spacing w:after="40"/>
      </w:pPr>
      <w:r>
        <w:rPr>
          <w:b/>
          <w:i w:val="0"/>
          <w:color w:val="E8B84B"/>
          <w:sz w:val="18"/>
        </w:rPr>
        <w:t xml:space="preserve">PR1066114-370  </w:t>
      </w:r>
      <w:r>
        <w:rPr>
          <w:b/>
          <w:i w:val="0"/>
          <w:sz w:val="18"/>
        </w:rPr>
        <w:t>Nomenclaturas 2026 — estándar CPM</w:t>
      </w:r>
    </w:p>
    <w:p>
      <w:pPr>
        <w:spacing w:after="40"/>
      </w:pPr>
      <w:r>
        <w:rPr>
          <w:b/>
          <w:i w:val="0"/>
          <w:color w:val="E8B84B"/>
          <w:sz w:val="18"/>
        </w:rPr>
        <w:t xml:space="preserve">PR1066114-371  </w:t>
      </w:r>
      <w:r>
        <w:rPr>
          <w:b/>
          <w:i w:val="0"/>
          <w:sz w:val="18"/>
        </w:rPr>
        <w:t>Nomenclaturas 2026 — estándar Patrocinio</w:t>
      </w:r>
    </w:p>
    <w:p>
      <w:pPr>
        <w:spacing w:after="40"/>
      </w:pPr>
      <w:r>
        <w:rPr>
          <w:b/>
          <w:i w:val="0"/>
          <w:color w:val="E8B84B"/>
          <w:sz w:val="18"/>
        </w:rPr>
        <w:t xml:space="preserve">PR1066114-380  </w:t>
      </w:r>
      <w:r>
        <w:rPr>
          <w:b/>
          <w:i w:val="0"/>
          <w:sz w:val="18"/>
        </w:rPr>
        <w:t>Nomenclaturas 2026 — Línea de Pedido</w:t>
      </w:r>
    </w:p>
    <w:p>
      <w:pPr>
        <w:spacing w:after="40"/>
      </w:pPr>
      <w:r>
        <w:rPr>
          <w:b/>
          <w:i w:val="0"/>
          <w:color w:val="E8B84B"/>
          <w:sz w:val="18"/>
        </w:rPr>
        <w:t xml:space="preserve">PR1066114-375  </w:t>
      </w:r>
      <w:r>
        <w:rPr>
          <w:b/>
          <w:i w:val="0"/>
          <w:sz w:val="18"/>
        </w:rPr>
        <w:t>Etapas de Cotización — Venta Directa</w:t>
      </w:r>
    </w:p>
    <w:p>
      <w:pPr>
        <w:spacing w:after="40"/>
      </w:pPr>
      <w:r>
        <w:rPr>
          <w:b/>
          <w:i w:val="0"/>
          <w:color w:val="E8B84B"/>
          <w:sz w:val="18"/>
        </w:rPr>
        <w:t xml:space="preserve">PR1066114-376  </w:t>
      </w:r>
      <w:r>
        <w:rPr>
          <w:b/>
          <w:i w:val="0"/>
          <w:sz w:val="18"/>
        </w:rPr>
        <w:t>Etapas de Cotización — estados adicionales</w:t>
      </w:r>
    </w:p>
    <w:p>
      <w:pPr>
        <w:spacing w:after="40"/>
      </w:pPr>
      <w:r>
        <w:rPr>
          <w:b/>
          <w:i w:val="0"/>
          <w:color w:val="E8B84B"/>
          <w:sz w:val="18"/>
        </w:rPr>
        <w:t xml:space="preserve">PR1066114-377  </w:t>
      </w:r>
      <w:r>
        <w:rPr>
          <w:b/>
          <w:i w:val="0"/>
          <w:sz w:val="18"/>
        </w:rPr>
        <w:t>Diseño Campaña — refinamiento S4</w:t>
      </w:r>
    </w:p>
    <w:p>
      <w:pPr>
        <w:spacing w:after="40"/>
      </w:pPr>
      <w:r>
        <w:rPr>
          <w:b/>
          <w:i w:val="0"/>
          <w:color w:val="E8B84B"/>
          <w:sz w:val="18"/>
        </w:rPr>
        <w:t xml:space="preserve">PR1066114-378  </w:t>
      </w:r>
      <w:r>
        <w:rPr>
          <w:b/>
          <w:i w:val="0"/>
          <w:sz w:val="18"/>
        </w:rPr>
        <w:t>Diseño Campaña — validaciones adicionales</w:t>
      </w:r>
    </w:p>
    <w:p>
      <w:pPr>
        <w:spacing w:after="40"/>
      </w:pPr>
      <w:r>
        <w:rPr>
          <w:b/>
          <w:i w:val="0"/>
          <w:color w:val="E8B84B"/>
          <w:sz w:val="18"/>
        </w:rPr>
        <w:t xml:space="preserve">PR1066114-379  </w:t>
      </w:r>
      <w:r>
        <w:rPr>
          <w:b/>
          <w:i w:val="0"/>
          <w:sz w:val="18"/>
        </w:rPr>
        <w:t>Diseño Campaña — campos adicionales en Quote</w:t>
      </w:r>
    </w:p>
    <w:p>
      <w:pPr>
        <w:spacing w:after="40"/>
      </w:pPr>
      <w:r>
        <w:rPr>
          <w:b/>
          <w:i w:val="0"/>
          <w:color w:val="E8B84B"/>
          <w:sz w:val="18"/>
        </w:rPr>
        <w:t xml:space="preserve">PR1066114-381  </w:t>
      </w:r>
      <w:r>
        <w:rPr>
          <w:b/>
          <w:i w:val="0"/>
          <w:sz w:val="18"/>
        </w:rPr>
        <w:t>Complemento Segmentaciones — criterios adicionales</w:t>
      </w:r>
    </w:p>
    <w:p>
      <w:pPr>
        <w:spacing w:after="40"/>
      </w:pPr>
      <w:r>
        <w:rPr>
          <w:b/>
          <w:i w:val="0"/>
          <w:color w:val="E8B84B"/>
          <w:sz w:val="18"/>
        </w:rPr>
        <w:t xml:space="preserve">PR1066114-382  </w:t>
      </w:r>
      <w:r>
        <w:rPr>
          <w:b/>
          <w:i w:val="0"/>
          <w:sz w:val="18"/>
        </w:rPr>
        <w:t>Complemento Segmentaciones — nuevos segmentos por producto</w:t>
      </w:r>
    </w:p>
    <w:p>
      <w:pPr>
        <w:spacing w:after="40"/>
      </w:pPr>
      <w:r>
        <w:rPr>
          <w:b/>
          <w:i w:val="0"/>
          <w:color w:val="E8B84B"/>
          <w:sz w:val="18"/>
        </w:rPr>
        <w:t xml:space="preserve">PR1066114-383  </w:t>
      </w:r>
      <w:r>
        <w:rPr>
          <w:b/>
          <w:i w:val="0"/>
          <w:sz w:val="18"/>
        </w:rPr>
        <w:t>PCM — actualización general S4</w:t>
      </w:r>
    </w:p>
    <w:p>
      <w:pPr>
        <w:spacing w:after="40"/>
      </w:pPr>
      <w:r>
        <w:rPr>
          <w:b/>
          <w:i w:val="0"/>
          <w:color w:val="E8B84B"/>
          <w:sz w:val="18"/>
        </w:rPr>
        <w:t xml:space="preserve">PR1066114-433  </w:t>
      </w:r>
      <w:r>
        <w:rPr>
          <w:b/>
          <w:i w:val="0"/>
          <w:sz w:val="18"/>
        </w:rPr>
        <w:t>Configuraciones Generales adicionales</w:t>
      </w:r>
    </w:p>
    <w:p>
      <w:pPr>
        <w:spacing w:after="40"/>
      </w:pPr>
      <w:r>
        <w:rPr>
          <w:b/>
          <w:i w:val="0"/>
          <w:color w:val="E8B84B"/>
          <w:sz w:val="18"/>
        </w:rPr>
        <w:t xml:space="preserve">PR1066114-117  </w:t>
      </w:r>
      <w:r>
        <w:rPr>
          <w:b/>
          <w:i w:val="0"/>
          <w:sz w:val="18"/>
        </w:rPr>
        <w:t>Complemento Segmentaciones — junction objects adicionales</w:t>
      </w:r>
    </w:p>
    <w:p>
      <w:pPr>
        <w:spacing w:after="40"/>
      </w:pPr>
      <w:r>
        <w:rPr>
          <w:b/>
          <w:i w:val="0"/>
          <w:color w:val="E8B84B"/>
          <w:sz w:val="18"/>
        </w:rPr>
        <w:t xml:space="preserve">PR1066114-387  </w:t>
      </w:r>
      <w:r>
        <w:rPr>
          <w:b/>
          <w:i w:val="0"/>
          <w:sz w:val="18"/>
        </w:rPr>
        <w:t>In-Flight DRO — orquestación de cambios en GAM</w:t>
      </w:r>
    </w:p>
    <w:p>
      <w:pPr>
        <w:spacing w:after="40"/>
      </w:pPr>
      <w:r>
        <w:rPr>
          <w:b/>
          <w:i w:val="0"/>
          <w:color w:val="E8B84B"/>
          <w:sz w:val="18"/>
        </w:rPr>
        <w:t xml:space="preserve">PR1066114-385  </w:t>
      </w:r>
      <w:r>
        <w:rPr>
          <w:b/>
          <w:i w:val="0"/>
          <w:sz w:val="18"/>
        </w:rPr>
        <w:t>In-Flight DRO — Amendment Flow</w:t>
      </w:r>
    </w:p>
    <w:p>
      <w:pPr>
        <w:spacing w:after="40"/>
      </w:pPr>
      <w:r>
        <w:rPr>
          <w:b/>
          <w:i w:val="0"/>
          <w:color w:val="E8B84B"/>
          <w:sz w:val="18"/>
        </w:rPr>
        <w:t xml:space="preserve">PR1066114-386  </w:t>
      </w:r>
      <w:r>
        <w:rPr>
          <w:b/>
          <w:i w:val="0"/>
          <w:sz w:val="18"/>
        </w:rPr>
        <w:t>In-Flight DRO — cambios durante vuelo activo</w:t>
      </w:r>
    </w:p>
    <w:p>
      <w:r>
        <w:br w:type="page"/>
      </w:r>
    </w:p>
    <w:tbl>
      <w:tblPr>
        <w:tblStyle w:val="TableGrid"/>
        <w:tblW w:type="auto" w:w="0"/>
        <w:tblLook w:firstColumn="1" w:firstRow="1" w:lastColumn="0" w:lastRow="0" w:noHBand="0" w:noVBand="1" w:val="04A0"/>
      </w:tblPr>
      <w:tblGrid>
        <w:gridCol w:w="9406"/>
      </w:tblGrid>
      <w:tr>
        <w:tc>
          <w:tcPr>
            <w:tcW w:type="dxa" w:w="9406"/>
            <w:shd w:val="clear" w:color="auto" w:fill="002060"/>
          </w:tcPr>
          <w:p>
            <w:pPr>
              <w:spacing w:before="280" w:after="80"/>
              <w:jc w:val="center"/>
            </w:pPr>
            <w:r>
              <w:rPr>
                <w:b/>
                <w:i w:val="0"/>
                <w:color w:val="E8B84B"/>
                <w:sz w:val="56"/>
              </w:rPr>
              <w:t>SPRINT  5</w:t>
            </w:r>
          </w:p>
          <w:p>
            <w:pPr>
              <w:spacing w:before="40" w:after="280"/>
              <w:jc w:val="center"/>
            </w:pPr>
            <w:r>
              <w:rPr>
                <w:b w:val="0"/>
                <w:i w:val="0"/>
                <w:color w:val="C0D4FF"/>
                <w:sz w:val="26"/>
              </w:rPr>
              <w:t>Price Waterfall BRE y Permission Sets</w:t>
            </w:r>
          </w:p>
        </w:tc>
      </w:tr>
    </w:tbl>
    <w:p>
      <w:pPr>
        <w:spacing w:after="120"/>
      </w:pPr>
    </w:p>
    <w:p>
      <w:pPr>
        <w:spacing w:before="40" w:after="40"/>
      </w:pPr>
      <w:r>
        <w:rPr>
          <w:b/>
          <w:i w:val="0"/>
          <w:color w:val="E8B84B"/>
          <w:sz w:val="16"/>
        </w:rPr>
        <w:t>Sprint 5 · KT R1 · Salesforce Media Cloud</w:t>
      </w:r>
    </w:p>
    <w:p>
      <w:pPr>
        <w:spacing w:before="240" w:after="80"/>
      </w:pPr>
      <w:r>
        <w:rPr>
          <w:b/>
          <w:i w:val="0"/>
          <w:color w:val="0070D2"/>
          <w:sz w:val="36"/>
        </w:rPr>
        <w:t>Lógica de Precios, Refinamiento de Permisos y Etapas de la Order</w:t>
      </w:r>
    </w:p>
    <w:p>
      <w:pPr>
        <w:spacing w:before="40" w:after="80"/>
      </w:pPr>
      <w:r>
        <w:rPr>
          <w:b w:val="0"/>
          <w:i w:val="0"/>
          <w:color w:val="555577"/>
          <w:sz w:val="20"/>
        </w:rPr>
        <w:t>Price Waterfall dinámico con BRE, Permission Set Groups granulares y ciclo de vida completo de la Order — cierre del Release 1.</w:t>
      </w:r>
    </w:p>
    <w:p>
      <w:pPr>
        <w:spacing w:before="40" w:after="40"/>
        <w:pBdr>
          <w:bottom w:val="single" w:sz="4" w:space="1" w:color="002060"/>
        </w:pBdr>
      </w:pPr>
    </w:p>
    <w:p>
      <w:pPr>
        <w:spacing w:before="240" w:after="80"/>
      </w:pPr>
      <w:r>
        <w:rPr>
          <w:b/>
          <w:i w:val="0"/>
          <w:color w:val="002060"/>
          <w:sz w:val="28"/>
        </w:rPr>
        <w:t>§ 1  Price Waterfall y Business Rules Engine</w:t>
      </w:r>
    </w:p>
    <w:p>
      <w:pPr>
        <w:spacing w:before="140" w:after="80"/>
      </w:pPr>
      <w:r>
        <w:rPr>
          <w:b/>
          <w:i w:val="0"/>
          <w:color w:val="0070D2"/>
          <w:sz w:val="24"/>
        </w:rPr>
        <w:t>1.1 — Arquitectura del Price Waterfall</w:t>
      </w:r>
    </w:p>
    <w:p>
      <w:pPr>
        <w:spacing w:before="40" w:after="80"/>
      </w:pPr>
      <w:r>
        <w:rPr>
          <w:b w:val="0"/>
          <w:i w:val="0"/>
          <w:color w:val="555577"/>
          <w:sz w:val="20"/>
        </w:rPr>
        <w:t>El Price Waterfall define el orden de aplicación de precios y descuentos. Con BRE activado en Sprint 5, reglas automáticas ajustan precios según tipo de formato creativo, sin intervención manual del vendedor.</w:t>
      </w:r>
    </w:p>
    <w:p>
      <w:pPr>
        <w:spacing w:before="140" w:after="80"/>
      </w:pPr>
      <w:r>
        <w:rPr>
          <w:b/>
          <w:i w:val="0"/>
          <w:color w:val="0070D2"/>
          <w:sz w:val="24"/>
        </w:rPr>
        <w:t>1.2 — BRE — Business Rules Engine</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2060"/>
          </w:tcPr>
          <w:p>
            <w:r>
              <w:rPr>
                <w:b/>
                <w:color w:val="FFFFFF"/>
                <w:sz w:val="18"/>
              </w:rPr>
              <w:t>Ad Creative Size Type</w:t>
            </w:r>
          </w:p>
        </w:tc>
        <w:tc>
          <w:tcPr>
            <w:tcW w:type="dxa" w:w="2351"/>
            <w:shd w:val="clear" w:color="auto" w:fill="002060"/>
          </w:tcPr>
          <w:p>
            <w:r>
              <w:rPr>
                <w:b/>
                <w:color w:val="FFFFFF"/>
                <w:sz w:val="18"/>
              </w:rPr>
              <w:t>Price Adjustment Type</w:t>
            </w:r>
          </w:p>
        </w:tc>
        <w:tc>
          <w:tcPr>
            <w:tcW w:type="dxa" w:w="2351"/>
            <w:shd w:val="clear" w:color="auto" w:fill="002060"/>
          </w:tcPr>
          <w:p>
            <w:r>
              <w:rPr>
                <w:b/>
                <w:color w:val="FFFFFF"/>
                <w:sz w:val="18"/>
              </w:rPr>
              <w:t>Value</w:t>
            </w:r>
          </w:p>
        </w:tc>
        <w:tc>
          <w:tcPr>
            <w:tcW w:type="dxa" w:w="2351"/>
            <w:shd w:val="clear" w:color="auto" w:fill="002060"/>
          </w:tcPr>
          <w:p>
            <w:r>
              <w:rPr>
                <w:b/>
                <w:color w:val="FFFFFF"/>
                <w:sz w:val="18"/>
              </w:rPr>
              <w:t>Rank</w:t>
            </w:r>
          </w:p>
        </w:tc>
      </w:tr>
      <w:tr>
        <w:tc>
          <w:tcPr>
            <w:tcW w:type="dxa" w:w="2351"/>
          </w:tcPr>
          <w:p>
            <w:r>
              <w:rPr>
                <w:sz w:val="18"/>
              </w:rPr>
              <w:t>300×250</w:t>
            </w:r>
          </w:p>
        </w:tc>
        <w:tc>
          <w:tcPr>
            <w:tcW w:type="dxa" w:w="2351"/>
          </w:tcPr>
          <w:p>
            <w:r>
              <w:rPr>
                <w:sz w:val="18"/>
              </w:rPr>
              <w:t>Price Ignore</w:t>
            </w:r>
          </w:p>
        </w:tc>
        <w:tc>
          <w:tcPr>
            <w:tcW w:type="dxa" w:w="2351"/>
          </w:tcPr>
          <w:p>
            <w:r>
              <w:rPr>
                <w:sz w:val="18"/>
              </w:rPr>
              <w:t>0</w:t>
            </w:r>
          </w:p>
        </w:tc>
        <w:tc>
          <w:tcPr>
            <w:tcW w:type="dxa" w:w="2351"/>
          </w:tcPr>
          <w:p>
            <w:r>
              <w:rPr>
                <w:sz w:val="18"/>
              </w:rPr>
              <w:t>1</w:t>
            </w:r>
          </w:p>
        </w:tc>
      </w:tr>
      <w:tr>
        <w:tc>
          <w:tcPr>
            <w:tcW w:type="dxa" w:w="2351"/>
          </w:tcPr>
          <w:p>
            <w:r>
              <w:rPr>
                <w:sz w:val="18"/>
              </w:rPr>
              <w:t>728×90</w:t>
            </w:r>
          </w:p>
        </w:tc>
        <w:tc>
          <w:tcPr>
            <w:tcW w:type="dxa" w:w="2351"/>
          </w:tcPr>
          <w:p>
            <w:r>
              <w:rPr>
                <w:sz w:val="18"/>
              </w:rPr>
              <w:t>Percentage</w:t>
            </w:r>
          </w:p>
        </w:tc>
        <w:tc>
          <w:tcPr>
            <w:tcW w:type="dxa" w:w="2351"/>
          </w:tcPr>
          <w:p>
            <w:r>
              <w:rPr>
                <w:sz w:val="18"/>
              </w:rPr>
              <w:t>-5%</w:t>
            </w:r>
          </w:p>
        </w:tc>
        <w:tc>
          <w:tcPr>
            <w:tcW w:type="dxa" w:w="2351"/>
          </w:tcPr>
          <w:p>
            <w:r>
              <w:rPr>
                <w:sz w:val="18"/>
              </w:rPr>
              <w:t>2</w:t>
            </w:r>
          </w:p>
        </w:tc>
      </w:tr>
      <w:tr>
        <w:tc>
          <w:tcPr>
            <w:tcW w:type="dxa" w:w="2351"/>
          </w:tcPr>
          <w:p>
            <w:r>
              <w:rPr>
                <w:sz w:val="18"/>
              </w:rPr>
              <w:t>Pre-roll 15s</w:t>
            </w:r>
          </w:p>
        </w:tc>
        <w:tc>
          <w:tcPr>
            <w:tcW w:type="dxa" w:w="2351"/>
          </w:tcPr>
          <w:p>
            <w:r>
              <w:rPr>
                <w:sz w:val="18"/>
              </w:rPr>
              <w:t>Percentage</w:t>
            </w:r>
          </w:p>
        </w:tc>
        <w:tc>
          <w:tcPr>
            <w:tcW w:type="dxa" w:w="2351"/>
          </w:tcPr>
          <w:p>
            <w:r>
              <w:rPr>
                <w:sz w:val="18"/>
              </w:rPr>
              <w:t>+10%</w:t>
            </w:r>
          </w:p>
        </w:tc>
        <w:tc>
          <w:tcPr>
            <w:tcW w:type="dxa" w:w="2351"/>
          </w:tcPr>
          <w:p>
            <w:r>
              <w:rPr>
                <w:sz w:val="18"/>
              </w:rPr>
              <w:t>3</w:t>
            </w:r>
          </w:p>
        </w:tc>
      </w:tr>
      <w:tr>
        <w:tc>
          <w:tcPr>
            <w:tcW w:type="dxa" w:w="2351"/>
          </w:tcPr>
          <w:p>
            <w:r>
              <w:rPr>
                <w:sz w:val="18"/>
              </w:rPr>
              <w:t>Pre-roll 30s</w:t>
            </w:r>
          </w:p>
        </w:tc>
        <w:tc>
          <w:tcPr>
            <w:tcW w:type="dxa" w:w="2351"/>
          </w:tcPr>
          <w:p>
            <w:r>
              <w:rPr>
                <w:sz w:val="18"/>
              </w:rPr>
              <w:t>Percentage</w:t>
            </w:r>
          </w:p>
        </w:tc>
        <w:tc>
          <w:tcPr>
            <w:tcW w:type="dxa" w:w="2351"/>
          </w:tcPr>
          <w:p>
            <w:r>
              <w:rPr>
                <w:sz w:val="18"/>
              </w:rPr>
              <w:t>+20%</w:t>
            </w:r>
          </w:p>
        </w:tc>
        <w:tc>
          <w:tcPr>
            <w:tcW w:type="dxa" w:w="2351"/>
          </w:tcPr>
          <w:p>
            <w:r>
              <w:rPr>
                <w:sz w:val="18"/>
              </w:rPr>
              <w:t>4</w:t>
            </w:r>
          </w:p>
        </w:tc>
      </w:tr>
      <w:tr>
        <w:tc>
          <w:tcPr>
            <w:tcW w:type="dxa" w:w="2351"/>
          </w:tcPr>
          <w:p>
            <w:r>
              <w:rPr>
                <w:sz w:val="18"/>
              </w:rPr>
              <w:t>Skin</w:t>
            </w:r>
          </w:p>
        </w:tc>
        <w:tc>
          <w:tcPr>
            <w:tcW w:type="dxa" w:w="2351"/>
          </w:tcPr>
          <w:p>
            <w:r>
              <w:rPr>
                <w:sz w:val="18"/>
              </w:rPr>
              <w:t>Percentage</w:t>
            </w:r>
          </w:p>
        </w:tc>
        <w:tc>
          <w:tcPr>
            <w:tcW w:type="dxa" w:w="2351"/>
          </w:tcPr>
          <w:p>
            <w:r>
              <w:rPr>
                <w:sz w:val="18"/>
              </w:rPr>
              <w:t>+15%</w:t>
            </w:r>
          </w:p>
        </w:tc>
        <w:tc>
          <w:tcPr>
            <w:tcW w:type="dxa" w:w="2351"/>
          </w:tcPr>
          <w:p>
            <w:r>
              <w:rPr>
                <w:sz w:val="18"/>
              </w:rPr>
              <w:t>5</w:t>
            </w:r>
          </w:p>
        </w:tc>
      </w:tr>
    </w:tbl>
    <w:p>
      <w:pPr>
        <w:spacing w:after="80"/>
      </w:pPr>
    </w:p>
    <w:p>
      <w:pPr>
        <w:spacing w:before="140" w:after="80"/>
      </w:pPr>
      <w:r>
        <w:rPr>
          <w:b/>
          <w:i w:val="0"/>
          <w:color w:val="0070D2"/>
          <w:sz w:val="24"/>
        </w:rPr>
        <w:t>1.3 — Pricing Procedure actualizado (NorDefaultRecipe)</w:t>
      </w:r>
    </w:p>
    <w:p>
      <w:pPr>
        <w:spacing w:before="40" w:after="80"/>
      </w:pPr>
      <w:r>
        <w:rPr>
          <w:b w:val="0"/>
          <w:i w:val="0"/>
          <w:color w:val="555577"/>
          <w:sz w:val="20"/>
        </w:rPr>
        <w:t>Price Adjustment Items agregados en Sprint 5:</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w:t>
            </w:r>
          </w:p>
        </w:tc>
        <w:tc>
          <w:tcPr>
            <w:tcW w:type="dxa" w:w="3135"/>
            <w:shd w:val="clear" w:color="auto" w:fill="002060"/>
          </w:tcPr>
          <w:p>
            <w:r>
              <w:rPr>
                <w:b/>
                <w:color w:val="FFFFFF"/>
                <w:sz w:val="18"/>
              </w:rPr>
              <w:t>Nombre</w:t>
            </w:r>
          </w:p>
        </w:tc>
        <w:tc>
          <w:tcPr>
            <w:tcW w:type="dxa" w:w="3135"/>
            <w:shd w:val="clear" w:color="auto" w:fill="002060"/>
          </w:tcPr>
          <w:p>
            <w:r>
              <w:rPr>
                <w:b/>
                <w:color w:val="FFFFFF"/>
                <w:sz w:val="18"/>
              </w:rPr>
              <w:t>Type</w:t>
            </w:r>
          </w:p>
        </w:tc>
      </w:tr>
      <w:tr>
        <w:tc>
          <w:tcPr>
            <w:tcW w:type="dxa" w:w="3135"/>
          </w:tcPr>
          <w:p>
            <w:r>
              <w:rPr>
                <w:sz w:val="18"/>
              </w:rPr>
              <w:t>1</w:t>
            </w:r>
          </w:p>
        </w:tc>
        <w:tc>
          <w:tcPr>
            <w:tcW w:type="dxa" w:w="3135"/>
          </w:tcPr>
          <w:p>
            <w:r>
              <w:rPr>
                <w:sz w:val="18"/>
              </w:rPr>
              <w:t>Media Creative Age Type Pricing</w:t>
            </w:r>
          </w:p>
        </w:tc>
        <w:tc>
          <w:tcPr>
            <w:tcW w:type="dxa" w:w="3135"/>
          </w:tcPr>
          <w:p>
            <w:r>
              <w:rPr>
                <w:sz w:val="18"/>
              </w:rPr>
              <w:t>Automation</w:t>
            </w:r>
          </w:p>
        </w:tc>
      </w:tr>
      <w:tr>
        <w:tc>
          <w:tcPr>
            <w:tcW w:type="dxa" w:w="3135"/>
          </w:tcPr>
          <w:p>
            <w:r>
              <w:rPr>
                <w:sz w:val="18"/>
              </w:rPr>
              <w:t>2</w:t>
            </w:r>
          </w:p>
        </w:tc>
        <w:tc>
          <w:tcPr>
            <w:tcW w:type="dxa" w:w="3135"/>
          </w:tcPr>
          <w:p>
            <w:r>
              <w:rPr>
                <w:sz w:val="18"/>
              </w:rPr>
              <w:t>All Space Creative Size Type Pricing</w:t>
            </w:r>
          </w:p>
        </w:tc>
        <w:tc>
          <w:tcPr>
            <w:tcW w:type="dxa" w:w="3135"/>
          </w:tcPr>
          <w:p>
            <w:r>
              <w:rPr>
                <w:sz w:val="18"/>
              </w:rPr>
              <w:t>Standard</w:t>
            </w:r>
          </w:p>
        </w:tc>
      </w:tr>
    </w:tbl>
    <w:p>
      <w:pPr>
        <w:spacing w:after="80"/>
      </w:pPr>
    </w:p>
    <w:p>
      <w:pPr>
        <w:spacing w:before="40" w:after="80"/>
      </w:pPr>
      <w:r>
        <w:rPr>
          <w:b w:val="0"/>
          <w:i w:val="0"/>
          <w:color w:val="555577"/>
          <w:sz w:val="20"/>
        </w:rPr>
        <w:t>Flujo de adjudicación:</w:t>
      </w:r>
    </w:p>
    <w:p>
      <w:pPr>
        <w:spacing w:after="80"/>
        <w:ind w:left="283"/>
      </w:pPr>
      <w:r>
        <w:rPr>
          <w:rFonts w:ascii="Courier New" w:hAnsi="Courier New"/>
          <w:b w:val="0"/>
          <w:i w:val="0"/>
          <w:color w:val="4080C0"/>
          <w:sz w:val="16"/>
        </w:rPr>
        <w:t>AdjudicationNode → "Discount Based on Associated Ad Space Creative Spec" (Price Adjustment Item) → "Discount Based on Associated Ad Space Creative Size-Gen Type" (Price Adjustment Item) → Final Price Applied</w:t>
      </w:r>
    </w:p>
    <w:p>
      <w:pPr>
        <w:spacing w:before="140" w:after="80"/>
      </w:pPr>
      <w:r>
        <w:rPr>
          <w:b/>
          <w:i w:val="0"/>
          <w:color w:val="0070D2"/>
          <w:sz w:val="24"/>
        </w:rPr>
        <w:t>1.4 — Configuración Ad Space Creative Size Type — ejemplo 300×250</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w:t>
            </w:r>
          </w:p>
        </w:tc>
        <w:tc>
          <w:tcPr>
            <w:tcW w:type="dxa" w:w="4703"/>
            <w:shd w:val="clear" w:color="auto" w:fill="002060"/>
          </w:tcPr>
          <w:p>
            <w:r>
              <w:rPr>
                <w:b/>
                <w:color w:val="FFFFFF"/>
                <w:sz w:val="18"/>
              </w:rPr>
              <w:t>Valor</w:t>
            </w:r>
          </w:p>
        </w:tc>
      </w:tr>
      <w:tr>
        <w:tc>
          <w:tcPr>
            <w:tcW w:type="dxa" w:w="4703"/>
          </w:tcPr>
          <w:p>
            <w:r>
              <w:rPr>
                <w:sz w:val="18"/>
              </w:rPr>
              <w:t>Name</w:t>
            </w:r>
          </w:p>
        </w:tc>
        <w:tc>
          <w:tcPr>
            <w:tcW w:type="dxa" w:w="4703"/>
          </w:tcPr>
          <w:p>
            <w:r>
              <w:rPr>
                <w:sz w:val="18"/>
              </w:rPr>
              <w:t>300×250</w:t>
            </w:r>
          </w:p>
        </w:tc>
      </w:tr>
      <w:tr>
        <w:tc>
          <w:tcPr>
            <w:tcW w:type="dxa" w:w="4703"/>
          </w:tcPr>
          <w:p>
            <w:r>
              <w:rPr>
                <w:sz w:val="18"/>
              </w:rPr>
              <w:t>Ad Creative Size Type</w:t>
            </w:r>
          </w:p>
        </w:tc>
        <w:tc>
          <w:tcPr>
            <w:tcW w:type="dxa" w:w="4703"/>
          </w:tcPr>
          <w:p>
            <w:r>
              <w:rPr>
                <w:sz w:val="18"/>
              </w:rPr>
              <w:t>Standard</w:t>
            </w:r>
          </w:p>
        </w:tc>
      </w:tr>
      <w:tr>
        <w:tc>
          <w:tcPr>
            <w:tcW w:type="dxa" w:w="4703"/>
          </w:tcPr>
          <w:p>
            <w:r>
              <w:rPr>
                <w:sz w:val="18"/>
              </w:rPr>
              <w:t>Ad Creative Name Type</w:t>
            </w:r>
          </w:p>
        </w:tc>
        <w:tc>
          <w:tcPr>
            <w:tcW w:type="dxa" w:w="4703"/>
          </w:tcPr>
          <w:p>
            <w:r>
              <w:rPr>
                <w:sz w:val="18"/>
              </w:rPr>
              <w:t>Image</w:t>
            </w:r>
          </w:p>
        </w:tc>
      </w:tr>
      <w:tr>
        <w:tc>
          <w:tcPr>
            <w:tcW w:type="dxa" w:w="4703"/>
          </w:tcPr>
          <w:p>
            <w:r>
              <w:rPr>
                <w:sz w:val="18"/>
              </w:rPr>
              <w:t>Price Adjustment Type</w:t>
            </w:r>
          </w:p>
        </w:tc>
        <w:tc>
          <w:tcPr>
            <w:tcW w:type="dxa" w:w="4703"/>
          </w:tcPr>
          <w:p>
            <w:r>
              <w:rPr>
                <w:sz w:val="18"/>
              </w:rPr>
              <w:t>Price Ignore ← campo clave</w:t>
            </w:r>
          </w:p>
        </w:tc>
      </w:tr>
      <w:tr>
        <w:tc>
          <w:tcPr>
            <w:tcW w:type="dxa" w:w="4703"/>
          </w:tcPr>
          <w:p>
            <w:r>
              <w:rPr>
                <w:sz w:val="18"/>
              </w:rPr>
              <w:t>Price Adjustment Value</w:t>
            </w:r>
          </w:p>
        </w:tc>
        <w:tc>
          <w:tcPr>
            <w:tcW w:type="dxa" w:w="4703"/>
          </w:tcPr>
          <w:p>
            <w:r>
              <w:rPr>
                <w:sz w:val="18"/>
              </w:rPr>
              <w:t>0</w:t>
            </w:r>
          </w:p>
        </w:tc>
      </w:tr>
      <w:tr>
        <w:tc>
          <w:tcPr>
            <w:tcW w:type="dxa" w:w="4703"/>
          </w:tcPr>
          <w:p>
            <w:r>
              <w:rPr>
                <w:sz w:val="18"/>
              </w:rPr>
              <w:t>BRE Status</w:t>
            </w:r>
          </w:p>
        </w:tc>
        <w:tc>
          <w:tcPr>
            <w:tcW w:type="dxa" w:w="4703"/>
          </w:tcPr>
          <w:p>
            <w:r>
              <w:rPr>
                <w:sz w:val="18"/>
              </w:rPr>
              <w:t>ACTIVE — ADD RULE (1)</w:t>
            </w:r>
          </w:p>
        </w:tc>
      </w:tr>
    </w:tbl>
    <w:p>
      <w:pPr>
        <w:spacing w:after="80"/>
      </w:pPr>
    </w:p>
    <w:p>
      <w:pPr>
        <w:spacing w:before="140" w:after="80"/>
      </w:pPr>
      <w:r>
        <w:rPr>
          <w:b/>
          <w:i w:val="0"/>
          <w:color w:val="0070D2"/>
          <w:sz w:val="24"/>
        </w:rPr>
        <w:t>1.5 — Ad Space Spec Product — campos de ajuste de precio</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Campo</w:t>
            </w:r>
          </w:p>
        </w:tc>
        <w:tc>
          <w:tcPr>
            <w:tcW w:type="dxa" w:w="3135"/>
            <w:shd w:val="clear" w:color="auto" w:fill="002060"/>
          </w:tcPr>
          <w:p>
            <w:r>
              <w:rPr>
                <w:b/>
                <w:color w:val="FFFFFF"/>
                <w:sz w:val="18"/>
              </w:rPr>
              <w:t>Tipo</w:t>
            </w:r>
          </w:p>
        </w:tc>
        <w:tc>
          <w:tcPr>
            <w:tcW w:type="dxa" w:w="3135"/>
            <w:shd w:val="clear" w:color="auto" w:fill="002060"/>
          </w:tcPr>
          <w:p>
            <w:r>
              <w:rPr>
                <w:b/>
                <w:color w:val="FFFFFF"/>
                <w:sz w:val="18"/>
              </w:rPr>
              <w:t>Descripción</w:t>
            </w:r>
          </w:p>
        </w:tc>
      </w:tr>
      <w:tr>
        <w:tc>
          <w:tcPr>
            <w:tcW w:type="dxa" w:w="3135"/>
          </w:tcPr>
          <w:p>
            <w:r>
              <w:rPr>
                <w:sz w:val="18"/>
              </w:rPr>
              <w:t>Price Adjustment Type</w:t>
            </w:r>
          </w:p>
        </w:tc>
        <w:tc>
          <w:tcPr>
            <w:tcW w:type="dxa" w:w="3135"/>
          </w:tcPr>
          <w:p>
            <w:r>
              <w:rPr>
                <w:sz w:val="18"/>
              </w:rPr>
              <w:t>Picklist</w:t>
            </w:r>
          </w:p>
        </w:tc>
        <w:tc>
          <w:tcPr>
            <w:tcW w:type="dxa" w:w="3135"/>
          </w:tcPr>
          <w:p>
            <w:r>
              <w:rPr>
                <w:sz w:val="18"/>
              </w:rPr>
              <w:t>Percentage / Amount / Price Ignore</w:t>
            </w:r>
          </w:p>
        </w:tc>
      </w:tr>
      <w:tr>
        <w:tc>
          <w:tcPr>
            <w:tcW w:type="dxa" w:w="3135"/>
          </w:tcPr>
          <w:p>
            <w:r>
              <w:rPr>
                <w:sz w:val="18"/>
              </w:rPr>
              <w:t>Price Adjustment Value</w:t>
            </w:r>
          </w:p>
        </w:tc>
        <w:tc>
          <w:tcPr>
            <w:tcW w:type="dxa" w:w="3135"/>
          </w:tcPr>
          <w:p>
            <w:r>
              <w:rPr>
                <w:sz w:val="18"/>
              </w:rPr>
              <w:t>Number</w:t>
            </w:r>
          </w:p>
        </w:tc>
        <w:tc>
          <w:tcPr>
            <w:tcW w:type="dxa" w:w="3135"/>
          </w:tcPr>
          <w:p>
            <w:r>
              <w:rPr>
                <w:sz w:val="18"/>
              </w:rPr>
              <w:t>Valor numérico del ajuste</w:t>
            </w:r>
          </w:p>
        </w:tc>
      </w:tr>
      <w:tr>
        <w:tc>
          <w:tcPr>
            <w:tcW w:type="dxa" w:w="3135"/>
          </w:tcPr>
          <w:p>
            <w:r>
              <w:rPr>
                <w:sz w:val="18"/>
              </w:rPr>
              <w:t>Rank</w:t>
            </w:r>
          </w:p>
        </w:tc>
        <w:tc>
          <w:tcPr>
            <w:tcW w:type="dxa" w:w="3135"/>
          </w:tcPr>
          <w:p>
            <w:r>
              <w:rPr>
                <w:sz w:val="18"/>
              </w:rPr>
              <w:t>Number</w:t>
            </w:r>
          </w:p>
        </w:tc>
        <w:tc>
          <w:tcPr>
            <w:tcW w:type="dxa" w:w="3135"/>
          </w:tcPr>
          <w:p>
            <w:r>
              <w:rPr>
                <w:sz w:val="18"/>
              </w:rPr>
              <w:t>Orden de aplicación del ajuste</w:t>
            </w:r>
          </w:p>
        </w:tc>
      </w:tr>
    </w:tbl>
    <w:p>
      <w:pPr>
        <w:spacing w:after="80"/>
      </w:pPr>
    </w:p>
    <w:p>
      <w:pPr>
        <w:spacing w:before="240" w:after="80"/>
      </w:pPr>
      <w:r>
        <w:rPr>
          <w:b/>
          <w:i w:val="0"/>
          <w:color w:val="002060"/>
          <w:sz w:val="28"/>
        </w:rPr>
        <w:t>§ 2  Permission Set Groups Refinados</w:t>
      </w:r>
    </w:p>
    <w:p>
      <w:pPr>
        <w:spacing w:before="140" w:after="80"/>
      </w:pPr>
      <w:r>
        <w:rPr>
          <w:b/>
          <w:i w:val="0"/>
          <w:color w:val="0070D2"/>
          <w:sz w:val="24"/>
        </w:rPr>
        <w:t>2.1 — PSG Media Planner — detalle completo</w:t>
      </w:r>
    </w:p>
    <w:tbl>
      <w:tblPr>
        <w:tblStyle w:val="TableGrid"/>
        <w:tblW w:type="auto" w:w="0"/>
        <w:tblLook w:firstColumn="1" w:firstRow="1" w:lastColumn="0" w:lastRow="0" w:noHBand="0" w:noVBand="1" w:val="04A0"/>
      </w:tblPr>
      <w:tblGrid>
        <w:gridCol w:w="4703"/>
        <w:gridCol w:w="4703"/>
      </w:tblGrid>
      <w:tr>
        <w:tc>
          <w:tcPr>
            <w:tcW w:type="dxa" w:w="4703"/>
            <w:shd w:val="clear" w:color="auto" w:fill="002060"/>
          </w:tcPr>
          <w:p>
            <w:r>
              <w:rPr>
                <w:b/>
                <w:color w:val="FFFFFF"/>
                <w:sz w:val="18"/>
              </w:rPr>
              <w:t>Campo</w:t>
            </w:r>
          </w:p>
        </w:tc>
        <w:tc>
          <w:tcPr>
            <w:tcW w:type="dxa" w:w="4703"/>
            <w:shd w:val="clear" w:color="auto" w:fill="002060"/>
          </w:tcPr>
          <w:p>
            <w:r>
              <w:rPr>
                <w:b/>
                <w:color w:val="FFFFFF"/>
                <w:sz w:val="18"/>
              </w:rPr>
              <w:t>Valor</w:t>
            </w:r>
          </w:p>
        </w:tc>
      </w:tr>
      <w:tr>
        <w:tc>
          <w:tcPr>
            <w:tcW w:type="dxa" w:w="4703"/>
          </w:tcPr>
          <w:p>
            <w:r>
              <w:rPr>
                <w:sz w:val="18"/>
              </w:rPr>
              <w:t>API Name</w:t>
            </w:r>
          </w:p>
        </w:tc>
        <w:tc>
          <w:tcPr>
            <w:tcW w:type="dxa" w:w="4703"/>
          </w:tcPr>
          <w:p>
            <w:r>
              <w:rPr>
                <w:sz w:val="18"/>
              </w:rPr>
              <w:t>TVAM_MediaPlanner</w:t>
            </w:r>
          </w:p>
        </w:tc>
      </w:tr>
      <w:tr>
        <w:tc>
          <w:tcPr>
            <w:tcW w:type="dxa" w:w="4703"/>
          </w:tcPr>
          <w:p>
            <w:r>
              <w:rPr>
                <w:sz w:val="18"/>
              </w:rPr>
              <w:t>Namespace Prefix</w:t>
            </w:r>
          </w:p>
        </w:tc>
        <w:tc>
          <w:tcPr>
            <w:tcW w:type="dxa" w:w="4703"/>
          </w:tcPr>
          <w:p>
            <w:r>
              <w:rPr>
                <w:sz w:val="18"/>
              </w:rPr>
              <w:t>TVAM</w:t>
            </w:r>
          </w:p>
        </w:tc>
      </w:tr>
      <w:tr>
        <w:tc>
          <w:tcPr>
            <w:tcW w:type="dxa" w:w="4703"/>
          </w:tcPr>
          <w:p>
            <w:r>
              <w:rPr>
                <w:sz w:val="18"/>
              </w:rPr>
              <w:t>Description</w:t>
            </w:r>
          </w:p>
        </w:tc>
        <w:tc>
          <w:tcPr>
            <w:tcW w:type="dxa" w:w="4703"/>
          </w:tcPr>
          <w:p>
            <w:r>
              <w:rPr>
                <w:sz w:val="18"/>
              </w:rPr>
              <w:t>Acceso a la planificación y gestión de medios publicitarios. Crea y administra Media Plans, Ad Order Campaigns y Ad Orders dentro del ciclo de ventas de Medios Digitales de Azteca.</w:t>
            </w:r>
          </w:p>
        </w:tc>
      </w:tr>
      <w:tr>
        <w:tc>
          <w:tcPr>
            <w:tcW w:type="dxa" w:w="4703"/>
          </w:tcPr>
          <w:p>
            <w:r>
              <w:rPr>
                <w:sz w:val="18"/>
              </w:rPr>
              <w:t>Last Modified</w:t>
            </w:r>
          </w:p>
        </w:tc>
        <w:tc>
          <w:tcPr>
            <w:tcW w:type="dxa" w:w="4703"/>
          </w:tcPr>
          <w:p>
            <w:r>
              <w:rPr>
                <w:sz w:val="18"/>
              </w:rPr>
              <w:t>Marcus Rob — 9/19/25, 1:49 PM</w:t>
            </w:r>
          </w:p>
        </w:tc>
      </w:tr>
    </w:tbl>
    <w:p>
      <w:pPr>
        <w:spacing w:after="80"/>
      </w:pPr>
    </w:p>
    <w:p>
      <w:pPr>
        <w:spacing w:before="40" w:after="80"/>
      </w:pPr>
      <w:r>
        <w:rPr>
          <w:b w:val="0"/>
          <w:i w:val="0"/>
          <w:color w:val="555577"/>
          <w:sz w:val="20"/>
        </w:rPr>
        <w:t>Permisos incluidos en el PSG:</w:t>
      </w:r>
    </w:p>
    <w:p>
      <w:pPr>
        <w:spacing w:before="140" w:after="80"/>
      </w:pPr>
      <w:r>
        <w:rPr>
          <w:b/>
          <w:i w:val="0"/>
          <w:color w:val="0070D2"/>
          <w:sz w:val="24"/>
        </w:rPr>
        <w:t>2.2 — Todos los 9 Permission Sets — estado final</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2060"/>
          </w:tcPr>
          <w:p>
            <w:r>
              <w:rPr>
                <w:b/>
                <w:color w:val="FFFFFF"/>
                <w:sz w:val="18"/>
              </w:rPr>
              <w:t>API Name</w:t>
            </w:r>
          </w:p>
        </w:tc>
        <w:tc>
          <w:tcPr>
            <w:tcW w:type="dxa" w:w="2351"/>
            <w:shd w:val="clear" w:color="auto" w:fill="002060"/>
          </w:tcPr>
          <w:p>
            <w:r>
              <w:rPr>
                <w:b/>
                <w:color w:val="FFFFFF"/>
                <w:sz w:val="18"/>
              </w:rPr>
              <w:t>Label</w:t>
            </w:r>
          </w:p>
        </w:tc>
        <w:tc>
          <w:tcPr>
            <w:tcW w:type="dxa" w:w="2351"/>
            <w:shd w:val="clear" w:color="auto" w:fill="002060"/>
          </w:tcPr>
          <w:p>
            <w:r>
              <w:rPr>
                <w:b/>
                <w:color w:val="FFFFFF"/>
                <w:sz w:val="18"/>
              </w:rPr>
              <w:t>Rol asignado</w:t>
            </w:r>
          </w:p>
        </w:tc>
        <w:tc>
          <w:tcPr>
            <w:tcW w:type="dxa" w:w="2351"/>
            <w:shd w:val="clear" w:color="auto" w:fill="002060"/>
          </w:tcPr>
          <w:p>
            <w:r>
              <w:rPr>
                <w:b/>
                <w:color w:val="FFFFFF"/>
                <w:sz w:val="18"/>
              </w:rPr>
              <w:t>Sprint</w:t>
            </w:r>
          </w:p>
        </w:tc>
      </w:tr>
      <w:tr>
        <w:tc>
          <w:tcPr>
            <w:tcW w:type="dxa" w:w="2351"/>
          </w:tcPr>
          <w:p>
            <w:r>
              <w:rPr>
                <w:sz w:val="18"/>
              </w:rPr>
              <w:t>TVA_DevOpsUser</w:t>
            </w:r>
          </w:p>
        </w:tc>
        <w:tc>
          <w:tcPr>
            <w:tcW w:type="dxa" w:w="2351"/>
          </w:tcPr>
          <w:p>
            <w:r>
              <w:rPr>
                <w:sz w:val="18"/>
              </w:rPr>
              <w:t>DevOps User</w:t>
            </w:r>
          </w:p>
        </w:tc>
        <w:tc>
          <w:tcPr>
            <w:tcW w:type="dxa" w:w="2351"/>
          </w:tcPr>
          <w:p>
            <w:r>
              <w:rPr>
                <w:sz w:val="18"/>
              </w:rPr>
              <w:t>CI/CD pipeline user</w:t>
            </w:r>
          </w:p>
        </w:tc>
        <w:tc>
          <w:tcPr>
            <w:tcW w:type="dxa" w:w="2351"/>
          </w:tcPr>
          <w:p>
            <w:r>
              <w:rPr>
                <w:sz w:val="18"/>
              </w:rPr>
              <w:t>S1</w:t>
            </w:r>
          </w:p>
        </w:tc>
      </w:tr>
      <w:tr>
        <w:tc>
          <w:tcPr>
            <w:tcW w:type="dxa" w:w="2351"/>
          </w:tcPr>
          <w:p>
            <w:r>
              <w:rPr>
                <w:sz w:val="18"/>
              </w:rPr>
              <w:t>TVAI_AccesoIntegraciones</w:t>
            </w:r>
          </w:p>
        </w:tc>
        <w:tc>
          <w:tcPr>
            <w:tcW w:type="dxa" w:w="2351"/>
          </w:tcPr>
          <w:p>
            <w:r>
              <w:rPr>
                <w:sz w:val="18"/>
              </w:rPr>
              <w:t>Acceso a Integraciones</w:t>
            </w:r>
          </w:p>
        </w:tc>
        <w:tc>
          <w:tcPr>
            <w:tcW w:type="dxa" w:w="2351"/>
          </w:tcPr>
          <w:p>
            <w:r>
              <w:rPr>
                <w:sz w:val="18"/>
              </w:rPr>
              <w:t>Integration service</w:t>
            </w:r>
          </w:p>
        </w:tc>
        <w:tc>
          <w:tcPr>
            <w:tcW w:type="dxa" w:w="2351"/>
          </w:tcPr>
          <w:p>
            <w:r>
              <w:rPr>
                <w:sz w:val="18"/>
              </w:rPr>
              <w:t>S1</w:t>
            </w:r>
          </w:p>
        </w:tc>
      </w:tr>
      <w:tr>
        <w:tc>
          <w:tcPr>
            <w:tcW w:type="dxa" w:w="2351"/>
          </w:tcPr>
          <w:p>
            <w:r>
              <w:rPr>
                <w:sz w:val="18"/>
              </w:rPr>
              <w:t>TVAM_AdOperations</w:t>
            </w:r>
          </w:p>
        </w:tc>
        <w:tc>
          <w:tcPr>
            <w:tcW w:type="dxa" w:w="2351"/>
          </w:tcPr>
          <w:p>
            <w:r>
              <w:rPr>
                <w:sz w:val="18"/>
              </w:rPr>
              <w:t>Ad Operations</w:t>
            </w:r>
          </w:p>
        </w:tc>
        <w:tc>
          <w:tcPr>
            <w:tcW w:type="dxa" w:w="2351"/>
          </w:tcPr>
          <w:p>
            <w:r>
              <w:rPr>
                <w:sz w:val="18"/>
              </w:rPr>
              <w:t>Equipo Ad Ops</w:t>
            </w:r>
          </w:p>
        </w:tc>
        <w:tc>
          <w:tcPr>
            <w:tcW w:type="dxa" w:w="2351"/>
          </w:tcPr>
          <w:p>
            <w:r>
              <w:rPr>
                <w:sz w:val="18"/>
              </w:rPr>
              <w:t>S1</w:t>
            </w:r>
          </w:p>
        </w:tc>
      </w:tr>
      <w:tr>
        <w:tc>
          <w:tcPr>
            <w:tcW w:type="dxa" w:w="2351"/>
          </w:tcPr>
          <w:p>
            <w:r>
              <w:rPr>
                <w:sz w:val="18"/>
              </w:rPr>
              <w:t>TVAM_AdSalesAdmin</w:t>
            </w:r>
          </w:p>
        </w:tc>
        <w:tc>
          <w:tcPr>
            <w:tcW w:type="dxa" w:w="2351"/>
          </w:tcPr>
          <w:p>
            <w:r>
              <w:rPr>
                <w:sz w:val="18"/>
              </w:rPr>
              <w:t>Ad Sales Admin</w:t>
            </w:r>
          </w:p>
        </w:tc>
        <w:tc>
          <w:tcPr>
            <w:tcW w:type="dxa" w:w="2351"/>
          </w:tcPr>
          <w:p>
            <w:r>
              <w:rPr>
                <w:sz w:val="18"/>
              </w:rPr>
              <w:t>Sales Admin</w:t>
            </w:r>
          </w:p>
        </w:tc>
        <w:tc>
          <w:tcPr>
            <w:tcW w:type="dxa" w:w="2351"/>
          </w:tcPr>
          <w:p>
            <w:r>
              <w:rPr>
                <w:sz w:val="18"/>
              </w:rPr>
              <w:t>S1</w:t>
            </w:r>
          </w:p>
        </w:tc>
      </w:tr>
      <w:tr>
        <w:tc>
          <w:tcPr>
            <w:tcW w:type="dxa" w:w="2351"/>
          </w:tcPr>
          <w:p>
            <w:r>
              <w:rPr>
                <w:sz w:val="18"/>
              </w:rPr>
              <w:t>TVAM_AsmSystemAdmin</w:t>
            </w:r>
          </w:p>
        </w:tc>
        <w:tc>
          <w:tcPr>
            <w:tcW w:type="dxa" w:w="2351"/>
          </w:tcPr>
          <w:p>
            <w:r>
              <w:rPr>
                <w:sz w:val="18"/>
              </w:rPr>
              <w:t>ASM System Admin</w:t>
            </w:r>
          </w:p>
        </w:tc>
        <w:tc>
          <w:tcPr>
            <w:tcW w:type="dxa" w:w="2351"/>
          </w:tcPr>
          <w:p>
            <w:r>
              <w:rPr>
                <w:sz w:val="18"/>
              </w:rPr>
              <w:t>System Admin</w:t>
            </w:r>
          </w:p>
        </w:tc>
        <w:tc>
          <w:tcPr>
            <w:tcW w:type="dxa" w:w="2351"/>
          </w:tcPr>
          <w:p>
            <w:r>
              <w:rPr>
                <w:sz w:val="18"/>
              </w:rPr>
              <w:t>S1</w:t>
            </w:r>
          </w:p>
        </w:tc>
      </w:tr>
      <w:tr>
        <w:tc>
          <w:tcPr>
            <w:tcW w:type="dxa" w:w="2351"/>
          </w:tcPr>
          <w:p>
            <w:r>
              <w:rPr>
                <w:sz w:val="18"/>
              </w:rPr>
              <w:t>TVAM_AsmSystemIntegrator</w:t>
            </w:r>
          </w:p>
        </w:tc>
        <w:tc>
          <w:tcPr>
            <w:tcW w:type="dxa" w:w="2351"/>
          </w:tcPr>
          <w:p>
            <w:r>
              <w:rPr>
                <w:sz w:val="18"/>
              </w:rPr>
              <w:t>ASM System Integrator</w:t>
            </w:r>
          </w:p>
        </w:tc>
        <w:tc>
          <w:tcPr>
            <w:tcW w:type="dxa" w:w="2351"/>
          </w:tcPr>
          <w:p>
            <w:r>
              <w:rPr>
                <w:sz w:val="18"/>
              </w:rPr>
              <w:t>Integration developer</w:t>
            </w:r>
          </w:p>
        </w:tc>
        <w:tc>
          <w:tcPr>
            <w:tcW w:type="dxa" w:w="2351"/>
          </w:tcPr>
          <w:p>
            <w:r>
              <w:rPr>
                <w:sz w:val="18"/>
              </w:rPr>
              <w:t>S1</w:t>
            </w:r>
          </w:p>
        </w:tc>
      </w:tr>
      <w:tr>
        <w:tc>
          <w:tcPr>
            <w:tcW w:type="dxa" w:w="2351"/>
          </w:tcPr>
          <w:p>
            <w:r>
              <w:rPr>
                <w:sz w:val="18"/>
              </w:rPr>
              <w:t>TVAM_DroFulfillment</w:t>
            </w:r>
          </w:p>
        </w:tc>
        <w:tc>
          <w:tcPr>
            <w:tcW w:type="dxa" w:w="2351"/>
          </w:tcPr>
          <w:p>
            <w:r>
              <w:rPr>
                <w:sz w:val="18"/>
              </w:rPr>
              <w:t>DRO &amp; Fulfillment</w:t>
            </w:r>
          </w:p>
        </w:tc>
        <w:tc>
          <w:tcPr>
            <w:tcW w:type="dxa" w:w="2351"/>
          </w:tcPr>
          <w:p>
            <w:r>
              <w:rPr>
                <w:sz w:val="18"/>
              </w:rPr>
              <w:t>Fulfillment ops</w:t>
            </w:r>
          </w:p>
        </w:tc>
        <w:tc>
          <w:tcPr>
            <w:tcW w:type="dxa" w:w="2351"/>
          </w:tcPr>
          <w:p>
            <w:r>
              <w:rPr>
                <w:sz w:val="18"/>
              </w:rPr>
              <w:t>S1</w:t>
            </w:r>
          </w:p>
        </w:tc>
      </w:tr>
      <w:tr>
        <w:tc>
          <w:tcPr>
            <w:tcW w:type="dxa" w:w="2351"/>
          </w:tcPr>
          <w:p>
            <w:r>
              <w:rPr>
                <w:sz w:val="18"/>
              </w:rPr>
              <w:t>TVAM_MediaPlanner</w:t>
            </w:r>
          </w:p>
        </w:tc>
        <w:tc>
          <w:tcPr>
            <w:tcW w:type="dxa" w:w="2351"/>
          </w:tcPr>
          <w:p>
            <w:r>
              <w:rPr>
                <w:sz w:val="18"/>
              </w:rPr>
              <w:t>Media Planner</w:t>
            </w:r>
          </w:p>
        </w:tc>
        <w:tc>
          <w:tcPr>
            <w:tcW w:type="dxa" w:w="2351"/>
          </w:tcPr>
          <w:p>
            <w:r>
              <w:rPr>
                <w:sz w:val="18"/>
              </w:rPr>
              <w:t>Planificadores de medios</w:t>
            </w:r>
          </w:p>
        </w:tc>
        <w:tc>
          <w:tcPr>
            <w:tcW w:type="dxa" w:w="2351"/>
          </w:tcPr>
          <w:p>
            <w:r>
              <w:rPr>
                <w:sz w:val="18"/>
              </w:rPr>
              <w:t>S1 → S5</w:t>
            </w:r>
          </w:p>
        </w:tc>
      </w:tr>
      <w:tr>
        <w:tc>
          <w:tcPr>
            <w:tcW w:type="dxa" w:w="2351"/>
          </w:tcPr>
          <w:p>
            <w:r>
              <w:rPr>
                <w:sz w:val="18"/>
              </w:rPr>
              <w:t>TVAM_ProductPricingAdmin</w:t>
            </w:r>
          </w:p>
        </w:tc>
        <w:tc>
          <w:tcPr>
            <w:tcW w:type="dxa" w:w="2351"/>
          </w:tcPr>
          <w:p>
            <w:r>
              <w:rPr>
                <w:sz w:val="18"/>
              </w:rPr>
              <w:t>Product &amp; Pricing Admin</w:t>
            </w:r>
          </w:p>
        </w:tc>
        <w:tc>
          <w:tcPr>
            <w:tcW w:type="dxa" w:w="2351"/>
          </w:tcPr>
          <w:p>
            <w:r>
              <w:rPr>
                <w:sz w:val="18"/>
              </w:rPr>
              <w:t>Pricing admin</w:t>
            </w:r>
          </w:p>
        </w:tc>
        <w:tc>
          <w:tcPr>
            <w:tcW w:type="dxa" w:w="2351"/>
          </w:tcPr>
          <w:p>
            <w:r>
              <w:rPr>
                <w:sz w:val="18"/>
              </w:rPr>
              <w:t>S1</w:t>
            </w:r>
          </w:p>
        </w:tc>
      </w:tr>
    </w:tbl>
    <w:p>
      <w:pPr>
        <w:spacing w:after="80"/>
      </w:pPr>
    </w:p>
    <w:p>
      <w:pPr>
        <w:spacing w:before="140" w:after="80"/>
      </w:pPr>
      <w:r>
        <w:rPr>
          <w:b/>
          <w:i w:val="0"/>
          <w:color w:val="0070D2"/>
          <w:sz w:val="24"/>
        </w:rPr>
        <w:t>2.3 — Responsabilidades por rol</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Rol</w:t>
            </w:r>
          </w:p>
        </w:tc>
        <w:tc>
          <w:tcPr>
            <w:tcW w:type="dxa" w:w="3135"/>
            <w:shd w:val="clear" w:color="auto" w:fill="002060"/>
          </w:tcPr>
          <w:p>
            <w:r>
              <w:rPr>
                <w:b/>
                <w:color w:val="FFFFFF"/>
                <w:sz w:val="18"/>
              </w:rPr>
              <w:t>Permission Set</w:t>
            </w:r>
          </w:p>
        </w:tc>
        <w:tc>
          <w:tcPr>
            <w:tcW w:type="dxa" w:w="3135"/>
            <w:shd w:val="clear" w:color="auto" w:fill="002060"/>
          </w:tcPr>
          <w:p>
            <w:r>
              <w:rPr>
                <w:b/>
                <w:color w:val="FFFFFF"/>
                <w:sz w:val="18"/>
              </w:rPr>
              <w:t>Responsabilidades</w:t>
            </w:r>
          </w:p>
        </w:tc>
      </w:tr>
      <w:tr>
        <w:tc>
          <w:tcPr>
            <w:tcW w:type="dxa" w:w="3135"/>
          </w:tcPr>
          <w:p>
            <w:r>
              <w:rPr>
                <w:sz w:val="18"/>
              </w:rPr>
              <w:t>Ad Sales Admin</w:t>
            </w:r>
          </w:p>
        </w:tc>
        <w:tc>
          <w:tcPr>
            <w:tcW w:type="dxa" w:w="3135"/>
          </w:tcPr>
          <w:p>
            <w:r>
              <w:rPr>
                <w:sz w:val="18"/>
              </w:rPr>
              <w:t>TVAM_AdSalesAdmin</w:t>
            </w:r>
          </w:p>
        </w:tc>
        <w:tc>
          <w:tcPr>
            <w:tcW w:type="dxa" w:w="3135"/>
          </w:tcPr>
          <w:p>
            <w:r>
              <w:rPr>
                <w:sz w:val="18"/>
              </w:rPr>
              <w:t>Gestiona Ad Server, inventario, pricing, targeting options</w:t>
            </w:r>
          </w:p>
        </w:tc>
      </w:tr>
      <w:tr>
        <w:tc>
          <w:tcPr>
            <w:tcW w:type="dxa" w:w="3135"/>
          </w:tcPr>
          <w:p>
            <w:r>
              <w:rPr>
                <w:sz w:val="18"/>
              </w:rPr>
              <w:t>Media Planner</w:t>
            </w:r>
          </w:p>
        </w:tc>
        <w:tc>
          <w:tcPr>
            <w:tcW w:type="dxa" w:w="3135"/>
          </w:tcPr>
          <w:p>
            <w:r>
              <w:rPr>
                <w:sz w:val="18"/>
              </w:rPr>
              <w:t>TVAM_MediaPlanner</w:t>
            </w:r>
          </w:p>
        </w:tc>
        <w:tc>
          <w:tcPr>
            <w:tcW w:type="dxa" w:w="3135"/>
          </w:tcPr>
          <w:p>
            <w:r>
              <w:rPr>
                <w:sz w:val="18"/>
              </w:rPr>
              <w:t>Crea Media Plans, diseña propuestas para RFPs, envía para aprobación</w:t>
            </w:r>
          </w:p>
        </w:tc>
      </w:tr>
      <w:tr>
        <w:tc>
          <w:tcPr>
            <w:tcW w:type="dxa" w:w="3135"/>
          </w:tcPr>
          <w:p>
            <w:r>
              <w:rPr>
                <w:sz w:val="18"/>
              </w:rPr>
              <w:t>Ad Operations</w:t>
            </w:r>
          </w:p>
        </w:tc>
        <w:tc>
          <w:tcPr>
            <w:tcW w:type="dxa" w:w="3135"/>
          </w:tcPr>
          <w:p>
            <w:r>
              <w:rPr>
                <w:sz w:val="18"/>
              </w:rPr>
              <w:t>TVAM_AdOperations</w:t>
            </w:r>
          </w:p>
        </w:tc>
        <w:tc>
          <w:tcPr>
            <w:tcW w:type="dxa" w:w="3135"/>
          </w:tcPr>
          <w:p>
            <w:r>
              <w:rPr>
                <w:sz w:val="18"/>
              </w:rPr>
              <w:t>Gestiona amendments pre-vuelo y durante el vuelo de campaña</w:t>
            </w:r>
          </w:p>
        </w:tc>
      </w:tr>
      <w:tr>
        <w:tc>
          <w:tcPr>
            <w:tcW w:type="dxa" w:w="3135"/>
          </w:tcPr>
          <w:p>
            <w:r>
              <w:rPr>
                <w:sz w:val="18"/>
              </w:rPr>
              <w:t>ASM System Admin</w:t>
            </w:r>
          </w:p>
        </w:tc>
        <w:tc>
          <w:tcPr>
            <w:tcW w:type="dxa" w:w="3135"/>
          </w:tcPr>
          <w:p>
            <w:r>
              <w:rPr>
                <w:sz w:val="18"/>
              </w:rPr>
              <w:t>TVAM_AsmSystemAdmin</w:t>
            </w:r>
          </w:p>
        </w:tc>
        <w:tc>
          <w:tcPr>
            <w:tcW w:type="dxa" w:w="3135"/>
          </w:tcPr>
          <w:p>
            <w:r>
              <w:rPr>
                <w:sz w:val="18"/>
              </w:rPr>
              <w:t>Config inicial, RBAC, habilita funciones, picklists, flujos preconfigurados</w:t>
            </w:r>
          </w:p>
        </w:tc>
      </w:tr>
      <w:tr>
        <w:tc>
          <w:tcPr>
            <w:tcW w:type="dxa" w:w="3135"/>
          </w:tcPr>
          <w:p>
            <w:r>
              <w:rPr>
                <w:sz w:val="18"/>
              </w:rPr>
              <w:t>System Integrator</w:t>
            </w:r>
          </w:p>
        </w:tc>
        <w:tc>
          <w:tcPr>
            <w:tcW w:type="dxa" w:w="3135"/>
          </w:tcPr>
          <w:p>
            <w:r>
              <w:rPr>
                <w:sz w:val="18"/>
              </w:rPr>
              <w:t>TVAM_AsmSystemIntegrator</w:t>
            </w:r>
          </w:p>
        </w:tc>
        <w:tc>
          <w:tcPr>
            <w:tcW w:type="dxa" w:w="3135"/>
          </w:tcPr>
          <w:p>
            <w:r>
              <w:rPr>
                <w:sz w:val="18"/>
              </w:rPr>
              <w:t>Integración con Ad Servers, crea integraciones de órdenes, Mulesoft Direct Apps</w:t>
            </w:r>
          </w:p>
        </w:tc>
      </w:tr>
      <w:tr>
        <w:tc>
          <w:tcPr>
            <w:tcW w:type="dxa" w:w="3135"/>
          </w:tcPr>
          <w:p>
            <w:r>
              <w:rPr>
                <w:sz w:val="18"/>
              </w:rPr>
              <w:t>DRO &amp; Fulfillment</w:t>
            </w:r>
          </w:p>
        </w:tc>
        <w:tc>
          <w:tcPr>
            <w:tcW w:type="dxa" w:w="3135"/>
          </w:tcPr>
          <w:p>
            <w:r>
              <w:rPr>
                <w:sz w:val="18"/>
              </w:rPr>
              <w:t>TVAM_DroFulfillment</w:t>
            </w:r>
          </w:p>
        </w:tc>
        <w:tc>
          <w:tcPr>
            <w:tcW w:type="dxa" w:w="3135"/>
          </w:tcPr>
          <w:p>
            <w:r>
              <w:rPr>
                <w:sz w:val="18"/>
              </w:rPr>
              <w:t>Supervisa fulfillment y reconciliación de derechos y obligaciones</w:t>
            </w:r>
          </w:p>
        </w:tc>
      </w:tr>
    </w:tbl>
    <w:p>
      <w:pPr>
        <w:spacing w:after="80"/>
      </w:pPr>
    </w:p>
    <w:p>
      <w:pPr>
        <w:spacing w:before="240" w:after="80"/>
      </w:pPr>
      <w:r>
        <w:rPr>
          <w:b/>
          <w:i w:val="0"/>
          <w:color w:val="002060"/>
          <w:sz w:val="28"/>
        </w:rPr>
        <w:t>§ 3  Etapas Completas de la Order — Ciclo de Vida</w:t>
      </w:r>
    </w:p>
    <w:p>
      <w:pPr>
        <w:spacing w:before="140" w:after="80"/>
      </w:pPr>
      <w:r>
        <w:rPr>
          <w:b/>
          <w:i w:val="0"/>
          <w:color w:val="0070D2"/>
          <w:sz w:val="24"/>
        </w:rPr>
        <w:t>3.1 — Ciclo de vida completo</w:t>
      </w:r>
    </w:p>
    <w:p>
      <w:pPr>
        <w:spacing w:before="40" w:after="80"/>
      </w:pPr>
      <w:r>
        <w:rPr>
          <w:b w:val="0"/>
          <w:i w:val="0"/>
          <w:color w:val="555577"/>
          <w:sz w:val="20"/>
        </w:rPr>
        <w:t>Ruta principal (gold) · Amendments (azul)</w:t>
      </w:r>
    </w:p>
    <w:p>
      <w:pPr>
        <w:spacing w:before="140" w:after="80"/>
      </w:pPr>
      <w:r>
        <w:rPr>
          <w:b/>
          <w:i w:val="0"/>
          <w:color w:val="0070D2"/>
          <w:sz w:val="24"/>
        </w:rPr>
        <w:t>3.2 — Descripción de estados</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002060"/>
          </w:tcPr>
          <w:p>
            <w:r>
              <w:rPr>
                <w:b/>
                <w:color w:val="FFFFFF"/>
                <w:sz w:val="18"/>
              </w:rPr>
              <w:t>Estado</w:t>
            </w:r>
          </w:p>
        </w:tc>
        <w:tc>
          <w:tcPr>
            <w:tcW w:type="dxa" w:w="2351"/>
            <w:shd w:val="clear" w:color="auto" w:fill="002060"/>
          </w:tcPr>
          <w:p>
            <w:r>
              <w:rPr>
                <w:b/>
                <w:color w:val="FFFFFF"/>
                <w:sz w:val="18"/>
              </w:rPr>
              <w:t>Trigger</w:t>
            </w:r>
          </w:p>
        </w:tc>
        <w:tc>
          <w:tcPr>
            <w:tcW w:type="dxa" w:w="2351"/>
            <w:shd w:val="clear" w:color="auto" w:fill="002060"/>
          </w:tcPr>
          <w:p>
            <w:r>
              <w:rPr>
                <w:b/>
                <w:color w:val="FFFFFF"/>
                <w:sz w:val="18"/>
              </w:rPr>
              <w:t>Actor</w:t>
            </w:r>
          </w:p>
        </w:tc>
        <w:tc>
          <w:tcPr>
            <w:tcW w:type="dxa" w:w="2351"/>
            <w:shd w:val="clear" w:color="auto" w:fill="002060"/>
          </w:tcPr>
          <w:p>
            <w:r>
              <w:rPr>
                <w:b/>
                <w:color w:val="FFFFFF"/>
                <w:sz w:val="18"/>
              </w:rPr>
              <w:t>Qué sucede</w:t>
            </w:r>
          </w:p>
        </w:tc>
      </w:tr>
      <w:tr>
        <w:tc>
          <w:tcPr>
            <w:tcW w:type="dxa" w:w="2351"/>
          </w:tcPr>
          <w:p>
            <w:r>
              <w:rPr>
                <w:sz w:val="18"/>
              </w:rPr>
              <w:t>Draft</w:t>
            </w:r>
          </w:p>
        </w:tc>
        <w:tc>
          <w:tcPr>
            <w:tcW w:type="dxa" w:w="2351"/>
          </w:tcPr>
          <w:p>
            <w:r>
              <w:rPr>
                <w:sz w:val="18"/>
              </w:rPr>
              <w:t>Order creada desde Quote</w:t>
            </w:r>
          </w:p>
        </w:tc>
        <w:tc>
          <w:tcPr>
            <w:tcW w:type="dxa" w:w="2351"/>
          </w:tcPr>
          <w:p>
            <w:r>
              <w:rPr>
                <w:sz w:val="18"/>
              </w:rPr>
              <w:t>Auto</w:t>
            </w:r>
          </w:p>
        </w:tc>
        <w:tc>
          <w:tcPr>
            <w:tcW w:type="dxa" w:w="2351"/>
          </w:tcPr>
          <w:p>
            <w:r>
              <w:rPr>
                <w:sz w:val="18"/>
              </w:rPr>
              <w:t>Copia exacta de la data del Quote. Sin cargos.</w:t>
            </w:r>
          </w:p>
        </w:tc>
      </w:tr>
      <w:tr>
        <w:tc>
          <w:tcPr>
            <w:tcW w:type="dxa" w:w="2351"/>
          </w:tcPr>
          <w:p>
            <w:r>
              <w:rPr>
                <w:sz w:val="18"/>
              </w:rPr>
              <w:t>Needs Review</w:t>
            </w:r>
          </w:p>
        </w:tc>
        <w:tc>
          <w:tcPr>
            <w:tcW w:type="dxa" w:w="2351"/>
          </w:tcPr>
          <w:p>
            <w:r>
              <w:rPr>
                <w:sz w:val="18"/>
              </w:rPr>
              <w:t>Enviado por planner</w:t>
            </w:r>
          </w:p>
        </w:tc>
        <w:tc>
          <w:tcPr>
            <w:tcW w:type="dxa" w:w="2351"/>
          </w:tcPr>
          <w:p>
            <w:r>
              <w:rPr>
                <w:sz w:val="18"/>
              </w:rPr>
              <w:t>Ad Sales Admin</w:t>
            </w:r>
          </w:p>
        </w:tc>
        <w:tc>
          <w:tcPr>
            <w:tcW w:type="dxa" w:w="2351"/>
          </w:tcPr>
          <w:p>
            <w:r>
              <w:rPr>
                <w:sz w:val="18"/>
              </w:rPr>
              <w:t>Revisión de detalles y confirmación de precio.</w:t>
            </w:r>
          </w:p>
        </w:tc>
      </w:tr>
      <w:tr>
        <w:tc>
          <w:tcPr>
            <w:tcW w:type="dxa" w:w="2351"/>
          </w:tcPr>
          <w:p>
            <w:r>
              <w:rPr>
                <w:sz w:val="18"/>
              </w:rPr>
              <w:t>Approved</w:t>
            </w:r>
          </w:p>
        </w:tc>
        <w:tc>
          <w:tcPr>
            <w:tcW w:type="dxa" w:w="2351"/>
          </w:tcPr>
          <w:p>
            <w:r>
              <w:rPr>
                <w:sz w:val="18"/>
              </w:rPr>
              <w:t>Aprobado por Admin</w:t>
            </w:r>
          </w:p>
        </w:tc>
        <w:tc>
          <w:tcPr>
            <w:tcW w:type="dxa" w:w="2351"/>
          </w:tcPr>
          <w:p>
            <w:r>
              <w:rPr>
                <w:sz w:val="18"/>
              </w:rPr>
              <w:t>Auto-next</w:t>
            </w:r>
          </w:p>
        </w:tc>
        <w:tc>
          <w:tcPr>
            <w:tcW w:type="dxa" w:w="2351"/>
          </w:tcPr>
          <w:p>
            <w:r>
              <w:rPr>
                <w:sz w:val="18"/>
              </w:rPr>
              <w:t>Lista para activación. Precios fijados.</w:t>
            </w:r>
          </w:p>
        </w:tc>
      </w:tr>
      <w:tr>
        <w:tc>
          <w:tcPr>
            <w:tcW w:type="dxa" w:w="2351"/>
          </w:tcPr>
          <w:p>
            <w:r>
              <w:rPr>
                <w:sz w:val="18"/>
              </w:rPr>
              <w:t>Activated</w:t>
            </w:r>
          </w:p>
        </w:tc>
        <w:tc>
          <w:tcPr>
            <w:tcW w:type="dxa" w:w="2351"/>
          </w:tcPr>
          <w:p>
            <w:r>
              <w:rPr>
                <w:sz w:val="18"/>
              </w:rPr>
              <w:t>Botón Activar</w:t>
            </w:r>
          </w:p>
        </w:tc>
        <w:tc>
          <w:tcPr>
            <w:tcW w:type="dxa" w:w="2351"/>
          </w:tcPr>
          <w:p>
            <w:r>
              <w:rPr>
                <w:sz w:val="18"/>
              </w:rPr>
              <w:t>Operaciones</w:t>
            </w:r>
          </w:p>
        </w:tc>
        <w:tc>
          <w:tcPr>
            <w:tcW w:type="dxa" w:w="2351"/>
          </w:tcPr>
          <w:p>
            <w:r>
              <w:rPr>
                <w:sz w:val="18"/>
              </w:rPr>
              <w:t>DRO Fulfillment Flow ejecutado → provisioning a GAM.</w:t>
            </w:r>
          </w:p>
        </w:tc>
      </w:tr>
      <w:tr>
        <w:tc>
          <w:tcPr>
            <w:tcW w:type="dxa" w:w="2351"/>
          </w:tcPr>
          <w:p>
            <w:r>
              <w:rPr>
                <w:sz w:val="18"/>
              </w:rPr>
              <w:t>Fulfillment Complete</w:t>
            </w:r>
          </w:p>
        </w:tc>
        <w:tc>
          <w:tcPr>
            <w:tcW w:type="dxa" w:w="2351"/>
          </w:tcPr>
          <w:p>
            <w:r>
              <w:rPr>
                <w:sz w:val="18"/>
              </w:rPr>
              <w:t>GAM confirma aprovisionamiento</w:t>
            </w:r>
          </w:p>
        </w:tc>
        <w:tc>
          <w:tcPr>
            <w:tcW w:type="dxa" w:w="2351"/>
          </w:tcPr>
          <w:p>
            <w:r>
              <w:rPr>
                <w:sz w:val="18"/>
              </w:rPr>
              <w:t>DRO auto</w:t>
            </w:r>
          </w:p>
        </w:tc>
        <w:tc>
          <w:tcPr>
            <w:tcW w:type="dxa" w:w="2351"/>
          </w:tcPr>
          <w:p>
            <w:r>
              <w:rPr>
                <w:sz w:val="18"/>
              </w:rPr>
              <w:t>Todos los Line Items confirmados en Ad Server.</w:t>
            </w:r>
          </w:p>
        </w:tc>
      </w:tr>
      <w:tr>
        <w:tc>
          <w:tcPr>
            <w:tcW w:type="dxa" w:w="2351"/>
          </w:tcPr>
          <w:p>
            <w:r>
              <w:rPr>
                <w:sz w:val="18"/>
              </w:rPr>
              <w:t>Completed</w:t>
            </w:r>
          </w:p>
        </w:tc>
        <w:tc>
          <w:tcPr>
            <w:tcW w:type="dxa" w:w="2351"/>
          </w:tcPr>
          <w:p>
            <w:r>
              <w:rPr>
                <w:sz w:val="18"/>
              </w:rPr>
              <w:t>Fecha de fin pasada</w:t>
            </w:r>
          </w:p>
        </w:tc>
        <w:tc>
          <w:tcPr>
            <w:tcW w:type="dxa" w:w="2351"/>
          </w:tcPr>
          <w:p>
            <w:r>
              <w:rPr>
                <w:sz w:val="18"/>
              </w:rPr>
              <w:t>DRO auto</w:t>
            </w:r>
          </w:p>
        </w:tc>
        <w:tc>
          <w:tcPr>
            <w:tcW w:type="dxa" w:w="2351"/>
          </w:tcPr>
          <w:p>
            <w:r>
              <w:rPr>
                <w:sz w:val="18"/>
              </w:rPr>
              <w:t>Campaña terminada. Proceso de billing activado.</w:t>
            </w:r>
          </w:p>
        </w:tc>
      </w:tr>
      <w:tr>
        <w:tc>
          <w:tcPr>
            <w:tcW w:type="dxa" w:w="2351"/>
          </w:tcPr>
          <w:p>
            <w:r>
              <w:rPr>
                <w:sz w:val="18"/>
              </w:rPr>
              <w:t>In-Flight Amendment</w:t>
            </w:r>
          </w:p>
        </w:tc>
        <w:tc>
          <w:tcPr>
            <w:tcW w:type="dxa" w:w="2351"/>
          </w:tcPr>
          <w:p>
            <w:r>
              <w:rPr>
                <w:sz w:val="18"/>
              </w:rPr>
              <w:t>Solicitud de cambio en orden activa</w:t>
            </w:r>
          </w:p>
        </w:tc>
        <w:tc>
          <w:tcPr>
            <w:tcW w:type="dxa" w:w="2351"/>
          </w:tcPr>
          <w:p>
            <w:r>
              <w:rPr>
                <w:sz w:val="18"/>
              </w:rPr>
              <w:t>Ad Operations</w:t>
            </w:r>
          </w:p>
        </w:tc>
        <w:tc>
          <w:tcPr>
            <w:tcW w:type="dxa" w:w="2351"/>
          </w:tcPr>
          <w:p>
            <w:r>
              <w:rPr>
                <w:sz w:val="18"/>
              </w:rPr>
              <w:t>DRO Amendment Flow → actualización parcial a GAM.</w:t>
            </w:r>
          </w:p>
        </w:tc>
      </w:tr>
    </w:tbl>
    <w:p>
      <w:pPr>
        <w:spacing w:after="80"/>
      </w:pPr>
    </w:p>
    <w:p>
      <w:pPr>
        <w:spacing w:before="140" w:after="80"/>
      </w:pPr>
      <w:r>
        <w:rPr>
          <w:b/>
          <w:i w:val="0"/>
          <w:color w:val="0070D2"/>
          <w:sz w:val="24"/>
        </w:rPr>
        <w:t>3.3 — Order vs Quote — comparativa</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Aspecto</w:t>
            </w:r>
          </w:p>
        </w:tc>
        <w:tc>
          <w:tcPr>
            <w:tcW w:type="dxa" w:w="3135"/>
            <w:shd w:val="clear" w:color="auto" w:fill="002060"/>
          </w:tcPr>
          <w:p>
            <w:r>
              <w:rPr>
                <w:b/>
                <w:color w:val="FFFFFF"/>
                <w:sz w:val="18"/>
              </w:rPr>
              <w:t>Quote (Ad Quote)</w:t>
            </w:r>
          </w:p>
        </w:tc>
        <w:tc>
          <w:tcPr>
            <w:tcW w:type="dxa" w:w="3135"/>
            <w:shd w:val="clear" w:color="auto" w:fill="002060"/>
          </w:tcPr>
          <w:p>
            <w:r>
              <w:rPr>
                <w:b/>
                <w:color w:val="FFFFFF"/>
                <w:sz w:val="18"/>
              </w:rPr>
              <w:t>Order (Ad Order)</w:t>
            </w:r>
          </w:p>
        </w:tc>
      </w:tr>
      <w:tr>
        <w:tc>
          <w:tcPr>
            <w:tcW w:type="dxa" w:w="3135"/>
          </w:tcPr>
          <w:p>
            <w:r>
              <w:rPr>
                <w:sz w:val="18"/>
              </w:rPr>
              <w:t>Propósito</w:t>
            </w:r>
          </w:p>
        </w:tc>
        <w:tc>
          <w:tcPr>
            <w:tcW w:type="dxa" w:w="3135"/>
          </w:tcPr>
          <w:p>
            <w:r>
              <w:rPr>
                <w:sz w:val="18"/>
              </w:rPr>
              <w:t>Propuesta comercial</w:t>
            </w:r>
          </w:p>
        </w:tc>
        <w:tc>
          <w:tcPr>
            <w:tcW w:type="dxa" w:w="3135"/>
          </w:tcPr>
          <w:p>
            <w:r>
              <w:rPr>
                <w:sz w:val="18"/>
              </w:rPr>
              <w:t>Compromiso firme</w:t>
            </w:r>
          </w:p>
        </w:tc>
      </w:tr>
      <w:tr>
        <w:tc>
          <w:tcPr>
            <w:tcW w:type="dxa" w:w="3135"/>
          </w:tcPr>
          <w:p>
            <w:r>
              <w:rPr>
                <w:sz w:val="18"/>
              </w:rPr>
              <w:t>Stages / Estados</w:t>
            </w:r>
          </w:p>
        </w:tc>
        <w:tc>
          <w:tcPr>
            <w:tcW w:type="dxa" w:w="3135"/>
          </w:tcPr>
          <w:p>
            <w:r>
              <w:rPr>
                <w:sz w:val="18"/>
              </w:rPr>
              <w:t>8 stages comerciales</w:t>
            </w:r>
          </w:p>
        </w:tc>
        <w:tc>
          <w:tcPr>
            <w:tcW w:type="dxa" w:w="3135"/>
          </w:tcPr>
          <w:p>
            <w:r>
              <w:rPr>
                <w:sz w:val="18"/>
              </w:rPr>
              <w:t>5 estados operacionales</w:t>
            </w:r>
          </w:p>
        </w:tc>
      </w:tr>
      <w:tr>
        <w:tc>
          <w:tcPr>
            <w:tcW w:type="dxa" w:w="3135"/>
          </w:tcPr>
          <w:p>
            <w:r>
              <w:rPr>
                <w:sz w:val="18"/>
              </w:rPr>
              <w:t>Editable</w:t>
            </w:r>
          </w:p>
        </w:tc>
        <w:tc>
          <w:tcPr>
            <w:tcW w:type="dxa" w:w="3135"/>
          </w:tcPr>
          <w:p>
            <w:r>
              <w:rPr>
                <w:sz w:val="18"/>
              </w:rPr>
              <w:t>Edición libre</w:t>
            </w:r>
          </w:p>
        </w:tc>
        <w:tc>
          <w:tcPr>
            <w:tcW w:type="dxa" w:w="3135"/>
          </w:tcPr>
          <w:p>
            <w:r>
              <w:rPr>
                <w:sz w:val="18"/>
              </w:rPr>
              <w:t>Solo via Amendment Flow</w:t>
            </w:r>
          </w:p>
        </w:tc>
      </w:tr>
      <w:tr>
        <w:tc>
          <w:tcPr>
            <w:tcW w:type="dxa" w:w="3135"/>
          </w:tcPr>
          <w:p>
            <w:r>
              <w:rPr>
                <w:sz w:val="18"/>
              </w:rPr>
              <w:t>Pricing</w:t>
            </w:r>
          </w:p>
        </w:tc>
        <w:tc>
          <w:tcPr>
            <w:tcW w:type="dxa" w:w="3135"/>
          </w:tcPr>
          <w:p>
            <w:r>
              <w:rPr>
                <w:sz w:val="18"/>
              </w:rPr>
              <w:t>Recalculo en vivo (Instant Pricing)</w:t>
            </w:r>
          </w:p>
        </w:tc>
        <w:tc>
          <w:tcPr>
            <w:tcW w:type="dxa" w:w="3135"/>
          </w:tcPr>
          <w:p>
            <w:r>
              <w:rPr>
                <w:sz w:val="18"/>
              </w:rPr>
              <w:t>Fijo al momento de activar</w:t>
            </w:r>
          </w:p>
        </w:tc>
      </w:tr>
      <w:tr>
        <w:tc>
          <w:tcPr>
            <w:tcW w:type="dxa" w:w="3135"/>
          </w:tcPr>
          <w:p>
            <w:r>
              <w:rPr>
                <w:sz w:val="18"/>
              </w:rPr>
              <w:t>DRO</w:t>
            </w:r>
          </w:p>
        </w:tc>
        <w:tc>
          <w:tcPr>
            <w:tcW w:type="dxa" w:w="3135"/>
          </w:tcPr>
          <w:p>
            <w:r>
              <w:rPr>
                <w:sz w:val="18"/>
              </w:rPr>
              <w:t>No involucrado</w:t>
            </w:r>
          </w:p>
        </w:tc>
        <w:tc>
          <w:tcPr>
            <w:tcW w:type="dxa" w:w="3135"/>
          </w:tcPr>
          <w:p>
            <w:r>
              <w:rPr>
                <w:sz w:val="18"/>
              </w:rPr>
              <w:t>DRO gestiona todo el ciclo</w:t>
            </w:r>
          </w:p>
        </w:tc>
      </w:tr>
      <w:tr>
        <w:tc>
          <w:tcPr>
            <w:tcW w:type="dxa" w:w="3135"/>
          </w:tcPr>
          <w:p>
            <w:r>
              <w:rPr>
                <w:sz w:val="18"/>
              </w:rPr>
              <w:t>Inheritance</w:t>
            </w:r>
          </w:p>
        </w:tc>
        <w:tc>
          <w:tcPr>
            <w:tcW w:type="dxa" w:w="3135"/>
          </w:tcPr>
          <w:p>
            <w:r>
              <w:rPr>
                <w:sz w:val="18"/>
              </w:rPr>
              <w:t>Origen de la data</w:t>
            </w:r>
          </w:p>
        </w:tc>
        <w:tc>
          <w:tcPr>
            <w:tcW w:type="dxa" w:w="3135"/>
          </w:tcPr>
          <w:p>
            <w:r>
              <w:rPr>
                <w:sz w:val="18"/>
              </w:rPr>
              <w:t>Hereda 100% de Ad Quote Line (schedules, hiatus, targeting)</w:t>
            </w:r>
          </w:p>
        </w:tc>
      </w:tr>
    </w:tbl>
    <w:p>
      <w:pPr>
        <w:spacing w:after="80"/>
      </w:pPr>
    </w:p>
    <w:p>
      <w:pPr>
        <w:spacing w:before="240" w:after="80"/>
      </w:pPr>
      <w:r>
        <w:rPr>
          <w:b/>
          <w:i w:val="0"/>
          <w:color w:val="002060"/>
          <w:sz w:val="28"/>
        </w:rPr>
        <w:t>§ 4  Arquitectura Final — Revisión Completa</w:t>
      </w:r>
    </w:p>
    <w:p>
      <w:pPr>
        <w:spacing w:before="40" w:after="80"/>
      </w:pPr>
      <w:r>
        <w:rPr>
          <w:b w:val="0"/>
          <w:i w:val="0"/>
          <w:color w:val="555577"/>
          <w:sz w:val="20"/>
        </w:rPr>
        <w:t>Con Sprint 5 completado, la arquitectura TO BE está operacional. Las 3 capas están activas y conectadas end-to-end.</w:t>
      </w:r>
    </w:p>
    <w:p>
      <w:pPr>
        <w:spacing w:before="40" w:after="80"/>
      </w:pPr>
      <w:r>
        <w:rPr>
          <w:b w:val="0"/>
          <w:i w:val="0"/>
          <w:color w:val="555577"/>
          <w:sz w:val="20"/>
        </w:rPr>
        <w:t>Módulos Core completados:</w:t>
      </w:r>
    </w:p>
    <w:p>
      <w:pPr>
        <w:spacing w:before="240" w:after="80"/>
      </w:pPr>
      <w:r>
        <w:rPr>
          <w:b/>
          <w:i w:val="0"/>
          <w:color w:val="002060"/>
          <w:sz w:val="28"/>
        </w:rPr>
        <w:t>§ 5  Governance y Mantenimiento Post-R1</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002060"/>
          </w:tcPr>
          <w:p>
            <w:r>
              <w:rPr>
                <w:b/>
                <w:color w:val="FFFFFF"/>
                <w:sz w:val="18"/>
              </w:rPr>
              <w:t>Frecuencia</w:t>
            </w:r>
          </w:p>
        </w:tc>
        <w:tc>
          <w:tcPr>
            <w:tcW w:type="dxa" w:w="3135"/>
            <w:shd w:val="clear" w:color="auto" w:fill="002060"/>
          </w:tcPr>
          <w:p>
            <w:r>
              <w:rPr>
                <w:b/>
                <w:color w:val="FFFFFF"/>
                <w:sz w:val="18"/>
              </w:rPr>
              <w:t>Tarea</w:t>
            </w:r>
          </w:p>
        </w:tc>
        <w:tc>
          <w:tcPr>
            <w:tcW w:type="dxa" w:w="3135"/>
            <w:shd w:val="clear" w:color="auto" w:fill="002060"/>
          </w:tcPr>
          <w:p>
            <w:r>
              <w:rPr>
                <w:b/>
                <w:color w:val="FFFFFF"/>
                <w:sz w:val="18"/>
              </w:rPr>
              <w:t>Owner</w:t>
            </w:r>
          </w:p>
        </w:tc>
      </w:tr>
      <w:tr>
        <w:tc>
          <w:tcPr>
            <w:tcW w:type="dxa" w:w="3135"/>
          </w:tcPr>
          <w:p>
            <w:r>
              <w:rPr>
                <w:sz w:val="18"/>
              </w:rPr>
              <w:t>Mensual</w:t>
            </w:r>
          </w:p>
        </w:tc>
        <w:tc>
          <w:tcPr>
            <w:tcW w:type="dxa" w:w="3135"/>
          </w:tcPr>
          <w:p>
            <w:r>
              <w:rPr>
                <w:sz w:val="18"/>
              </w:rPr>
              <w:t>Actualizar catálogo con Excel maestro (script Python idempotente)</w:t>
            </w:r>
          </w:p>
        </w:tc>
        <w:tc>
          <w:tcPr>
            <w:tcW w:type="dxa" w:w="3135"/>
          </w:tcPr>
          <w:p>
            <w:r>
              <w:rPr>
                <w:sz w:val="18"/>
              </w:rPr>
              <w:t>Ad Sales Admin</w:t>
            </w:r>
          </w:p>
        </w:tc>
      </w:tr>
      <w:tr>
        <w:tc>
          <w:tcPr>
            <w:tcW w:type="dxa" w:w="3135"/>
          </w:tcPr>
          <w:p>
            <w:r>
              <w:rPr>
                <w:sz w:val="18"/>
              </w:rPr>
              <w:t>Mensual</w:t>
            </w:r>
          </w:p>
        </w:tc>
        <w:tc>
          <w:tcPr>
            <w:tcW w:type="dxa" w:w="3135"/>
          </w:tcPr>
          <w:p>
            <w:r>
              <w:rPr>
                <w:sz w:val="18"/>
              </w:rPr>
              <w:t>Verificar límites de API de Salesforce</w:t>
            </w:r>
          </w:p>
        </w:tc>
        <w:tc>
          <w:tcPr>
            <w:tcW w:type="dxa" w:w="3135"/>
          </w:tcPr>
          <w:p>
            <w:r>
              <w:rPr>
                <w:sz w:val="18"/>
              </w:rPr>
              <w:t>System Integrator</w:t>
            </w:r>
          </w:p>
        </w:tc>
      </w:tr>
      <w:tr>
        <w:tc>
          <w:tcPr>
            <w:tcW w:type="dxa" w:w="3135"/>
          </w:tcPr>
          <w:p>
            <w:r>
              <w:rPr>
                <w:sz w:val="18"/>
              </w:rPr>
              <w:t>Trimestral</w:t>
            </w:r>
          </w:p>
        </w:tc>
        <w:tc>
          <w:tcPr>
            <w:tcW w:type="dxa" w:w="3135"/>
          </w:tcPr>
          <w:p>
            <w:r>
              <w:rPr>
                <w:sz w:val="18"/>
              </w:rPr>
              <w:t>Revisar y actualizar Permission Sets</w:t>
            </w:r>
          </w:p>
        </w:tc>
        <w:tc>
          <w:tcPr>
            <w:tcW w:type="dxa" w:w="3135"/>
          </w:tcPr>
          <w:p>
            <w:r>
              <w:rPr>
                <w:sz w:val="18"/>
              </w:rPr>
              <w:t>ASM System Admin</w:t>
            </w:r>
          </w:p>
        </w:tc>
      </w:tr>
      <w:tr>
        <w:tc>
          <w:tcPr>
            <w:tcW w:type="dxa" w:w="3135"/>
          </w:tcPr>
          <w:p>
            <w:r>
              <w:rPr>
                <w:sz w:val="18"/>
              </w:rPr>
              <w:t>Trimestral</w:t>
            </w:r>
          </w:p>
        </w:tc>
        <w:tc>
          <w:tcPr>
            <w:tcW w:type="dxa" w:w="3135"/>
          </w:tcPr>
          <w:p>
            <w:r>
              <w:rPr>
                <w:sz w:val="18"/>
              </w:rPr>
              <w:t>Revisar picklists con nuevos valores de negocio</w:t>
            </w:r>
          </w:p>
        </w:tc>
        <w:tc>
          <w:tcPr>
            <w:tcW w:type="dxa" w:w="3135"/>
          </w:tcPr>
          <w:p>
            <w:r>
              <w:rPr>
                <w:sz w:val="18"/>
              </w:rPr>
              <w:t>ASM System Admin</w:t>
            </w:r>
          </w:p>
        </w:tc>
      </w:tr>
      <w:tr>
        <w:tc>
          <w:tcPr>
            <w:tcW w:type="dxa" w:w="3135"/>
          </w:tcPr>
          <w:p>
            <w:r>
              <w:rPr>
                <w:sz w:val="18"/>
              </w:rPr>
              <w:t>Ad-hoc</w:t>
            </w:r>
          </w:p>
        </w:tc>
        <w:tc>
          <w:tcPr>
            <w:tcW w:type="dxa" w:w="3135"/>
          </w:tcPr>
          <w:p>
            <w:r>
              <w:rPr>
                <w:sz w:val="18"/>
              </w:rPr>
              <w:t>Dar de baja productos: IsActive=false (NUNCA eliminar)</w:t>
            </w:r>
          </w:p>
        </w:tc>
        <w:tc>
          <w:tcPr>
            <w:tcW w:type="dxa" w:w="3135"/>
          </w:tcPr>
          <w:p>
            <w:r>
              <w:rPr>
                <w:sz w:val="18"/>
              </w:rPr>
              <w:t>Ad Sales Admin</w:t>
            </w:r>
          </w:p>
        </w:tc>
      </w:tr>
      <w:tr>
        <w:tc>
          <w:tcPr>
            <w:tcW w:type="dxa" w:w="3135"/>
          </w:tcPr>
          <w:p>
            <w:r>
              <w:rPr>
                <w:sz w:val="18"/>
              </w:rPr>
              <w:t>Ad-hoc</w:t>
            </w:r>
          </w:p>
        </w:tc>
        <w:tc>
          <w:tcPr>
            <w:tcW w:type="dxa" w:w="3135"/>
          </w:tcPr>
          <w:p>
            <w:r>
              <w:rPr>
                <w:sz w:val="18"/>
              </w:rPr>
              <w:t>Revisar y actualizar Context Definitions</w:t>
            </w:r>
          </w:p>
        </w:tc>
        <w:tc>
          <w:tcPr>
            <w:tcW w:type="dxa" w:w="3135"/>
          </w:tcPr>
          <w:p>
            <w:r>
              <w:rPr>
                <w:sz w:val="18"/>
              </w:rPr>
              <w:t>System Admin</w:t>
            </w:r>
          </w:p>
        </w:tc>
      </w:tr>
      <w:tr>
        <w:tc>
          <w:tcPr>
            <w:tcW w:type="dxa" w:w="3135"/>
          </w:tcPr>
          <w:p>
            <w:r>
              <w:rPr>
                <w:sz w:val="18"/>
              </w:rPr>
              <w:t>Ad-hoc</w:t>
            </w:r>
          </w:p>
        </w:tc>
        <w:tc>
          <w:tcPr>
            <w:tcW w:type="dxa" w:w="3135"/>
          </w:tcPr>
          <w:p>
            <w:r>
              <w:rPr>
                <w:sz w:val="18"/>
              </w:rPr>
              <w:t>Actualizar BRE rules si cambian tipos de formatos creativos</w:t>
            </w:r>
          </w:p>
        </w:tc>
        <w:tc>
          <w:tcPr>
            <w:tcW w:type="dxa" w:w="3135"/>
          </w:tcPr>
          <w:p>
            <w:r>
              <w:rPr>
                <w:sz w:val="18"/>
              </w:rPr>
              <w:t>Product Pricing Admin</w:t>
            </w:r>
          </w:p>
        </w:tc>
      </w:tr>
    </w:tbl>
    <w:p>
      <w:pPr>
        <w:spacing w:after="80"/>
      </w:pPr>
    </w:p>
    <w:p>
      <w:pPr>
        <w:spacing w:before="240" w:after="80"/>
      </w:pPr>
      <w:r>
        <w:rPr>
          <w:b/>
          <w:i w:val="0"/>
          <w:color w:val="002060"/>
          <w:sz w:val="28"/>
        </w:rPr>
        <w:t>§ 6  Glosario Completo</w:t>
      </w:r>
    </w:p>
    <w:p>
      <w:pPr>
        <w:spacing w:before="240" w:after="80"/>
      </w:pPr>
      <w:r>
        <w:rPr>
          <w:b/>
          <w:i w:val="0"/>
          <w:color w:val="002060"/>
          <w:sz w:val="28"/>
        </w:rPr>
        <w:t>§ 7  User Stories</w:t>
      </w:r>
    </w:p>
    <w:p>
      <w:pPr>
        <w:spacing w:before="240" w:after="80"/>
      </w:pPr>
      <w:r>
        <w:rPr>
          <w:b/>
          <w:i w:val="0"/>
          <w:color w:val="002060"/>
          <w:sz w:val="28"/>
        </w:rPr>
        <w:t>§ 9  Cierre R1 y Próximos Pasos R2</w:t>
      </w:r>
    </w:p>
    <w:p>
      <w:pPr>
        <w:spacing w:before="40" w:after="80"/>
      </w:pPr>
      <w:r>
        <w:rPr>
          <w:b w:val="0"/>
          <w:i w:val="0"/>
          <w:color w:val="555577"/>
          <w:sz w:val="20"/>
        </w:rPr>
        <w:t>Con el Sprint 5 completado, el Release 1 está cerrado. Los siguientes entregables fueron implementados y validados:</w:t>
      </w:r>
    </w:p>
    <w:p>
      <w:pPr>
        <w:pStyle w:val="ListBullet"/>
        <w:spacing w:after="40"/>
      </w:pPr>
      <w:r>
        <w:rPr>
          <w:b w:val="0"/>
          <w:i w:val="0"/>
          <w:sz w:val="18"/>
        </w:rPr>
        <w:t>✓ Media Cloud Configuration habilitado</w:t>
      </w:r>
    </w:p>
    <w:p>
      <w:pPr>
        <w:pStyle w:val="ListBullet"/>
        <w:spacing w:after="40"/>
      </w:pPr>
      <w:r>
        <w:rPr>
          <w:b w:val="0"/>
          <w:i w:val="0"/>
          <w:sz w:val="18"/>
        </w:rPr>
        <w:t>✓ Revenue Cloud completo (5 pasos en orden estricto)</w:t>
      </w:r>
    </w:p>
    <w:p>
      <w:pPr>
        <w:pStyle w:val="ListBullet"/>
        <w:spacing w:after="40"/>
      </w:pPr>
      <w:r>
        <w:rPr>
          <w:b w:val="0"/>
          <w:i w:val="0"/>
          <w:sz w:val="18"/>
        </w:rPr>
        <w:t>✓ 9 Permission Sets TVAM_* creados y refinados</w:t>
      </w:r>
    </w:p>
    <w:p>
      <w:pPr>
        <w:pStyle w:val="ListBullet"/>
        <w:spacing w:after="40"/>
      </w:pPr>
      <w:r>
        <w:rPr>
          <w:b w:val="0"/>
          <w:i w:val="0"/>
          <w:sz w:val="18"/>
        </w:rPr>
        <w:t>✓ PCM: 12 productos, 9 canales, 3 capas completas</w:t>
      </w:r>
    </w:p>
    <w:p>
      <w:pPr>
        <w:pStyle w:val="ListBullet"/>
        <w:spacing w:after="40"/>
      </w:pPr>
      <w:r>
        <w:rPr>
          <w:b w:val="0"/>
          <w:i w:val="0"/>
          <w:sz w:val="18"/>
        </w:rPr>
        <w:t>✓ Line Item Configuration: 3 pestañas (Line Item, Delivery, Targeting)</w:t>
      </w:r>
    </w:p>
    <w:p>
      <w:pPr>
        <w:pStyle w:val="ListBullet"/>
        <w:spacing w:after="40"/>
      </w:pPr>
      <w:r>
        <w:rPr>
          <w:b w:val="0"/>
          <w:i w:val="0"/>
          <w:sz w:val="18"/>
        </w:rPr>
        <w:t>✓ Audience Targeting: Geografía 32 estados, Canales GAM, Demográficos</w:t>
      </w:r>
    </w:p>
    <w:p>
      <w:pPr>
        <w:pStyle w:val="ListBullet"/>
        <w:spacing w:after="40"/>
      </w:pPr>
      <w:r>
        <w:rPr>
          <w:b w:val="0"/>
          <w:i w:val="0"/>
          <w:sz w:val="18"/>
        </w:rPr>
        <w:t>✓ Context Service + Context Definitions configuradas</w:t>
      </w:r>
    </w:p>
    <w:p>
      <w:pPr>
        <w:pStyle w:val="ListBullet"/>
        <w:spacing w:after="40"/>
      </w:pPr>
      <w:r>
        <w:rPr>
          <w:b w:val="0"/>
          <w:i w:val="0"/>
          <w:sz w:val="18"/>
        </w:rPr>
        <w:t>✓ DRO Setup + primer aprovisionamiento real a GAM</w:t>
      </w:r>
    </w:p>
    <w:p>
      <w:pPr>
        <w:pStyle w:val="ListBullet"/>
        <w:spacing w:after="40"/>
      </w:pPr>
      <w:r>
        <w:rPr>
          <w:b w:val="0"/>
          <w:i w:val="0"/>
          <w:sz w:val="18"/>
        </w:rPr>
        <w:t>✓ In-Flight Amendments habilitados</w:t>
      </w:r>
    </w:p>
    <w:p>
      <w:pPr>
        <w:pStyle w:val="ListBullet"/>
        <w:spacing w:after="40"/>
      </w:pPr>
      <w:r>
        <w:rPr>
          <w:b w:val="0"/>
          <w:i w:val="0"/>
          <w:sz w:val="18"/>
        </w:rPr>
        <w:t>✓ Nomenclaturas 2026 formalizadas</w:t>
      </w:r>
    </w:p>
    <w:p>
      <w:pPr>
        <w:pStyle w:val="ListBullet"/>
        <w:spacing w:after="40"/>
      </w:pPr>
      <w:r>
        <w:rPr>
          <w:b w:val="0"/>
          <w:i w:val="0"/>
          <w:sz w:val="18"/>
        </w:rPr>
        <w:t>✓ Etapas de Cotización — Venta Directa formalizadas</w:t>
      </w:r>
    </w:p>
    <w:p>
      <w:pPr>
        <w:pStyle w:val="ListBullet"/>
        <w:spacing w:after="40"/>
      </w:pPr>
      <w:r>
        <w:rPr>
          <w:b w:val="0"/>
          <w:i w:val="0"/>
          <w:sz w:val="18"/>
        </w:rPr>
        <w:t>✓ Etapas de la Order — ciclo de vida completo (7 estados)</w:t>
      </w:r>
    </w:p>
    <w:p>
      <w:pPr>
        <w:pStyle w:val="ListBullet"/>
        <w:spacing w:after="40"/>
      </w:pPr>
      <w:r>
        <w:rPr>
          <w:b w:val="0"/>
          <w:i w:val="0"/>
          <w:sz w:val="18"/>
        </w:rPr>
        <w:t>✓ Price Waterfall BRE activo con descuentos por formato</w:t>
      </w:r>
    </w:p>
    <w:p>
      <w:pPr>
        <w:pStyle w:val="ListBullet"/>
        <w:spacing w:after="40"/>
      </w:pPr>
      <w:r>
        <w:rPr>
          <w:b w:val="0"/>
          <w:i w:val="0"/>
          <w:sz w:val="18"/>
        </w:rPr>
        <w:t>✓ Permission Set Groups granulares para todos los roles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