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380"/>
        <w:jc w:val="center"/>
      </w:pPr>
      <w:r>
        <w:rPr>
          <w:rFonts w:ascii="Times New Roman" w:cs="Times New Roman" w:eastAsia="Times New Roman" w:hAnsi="Times New Roman"/>
          <w:b/>
          <w:bCs/>
          <w:smallCaps w:val="false"/>
          <w:color w:val="000000"/>
          <w:sz w:val="32"/>
          <w:szCs w:val="32"/>
        </w:rPr>
        <w:t xml:space="preserve">Multimodal Parkinson's Disease Detection Using</w:t>
      </w:r>
    </w:p>
    <w:p>
      <w:pPr>
        <w:spacing w:after="120" w:before="0" w:line="380"/>
        <w:jc w:val="center"/>
      </w:pPr>
      <w:r>
        <w:rPr>
          <w:rFonts w:ascii="Times New Roman" w:cs="Times New Roman" w:eastAsia="Times New Roman" w:hAnsi="Times New Roman"/>
          <w:b/>
          <w:bCs/>
          <w:smallCaps w:val="false"/>
          <w:color w:val="000000"/>
          <w:sz w:val="32"/>
          <w:szCs w:val="32"/>
        </w:rPr>
        <w:t xml:space="preserve">Cross-Modal Attention Fusion of Handwriting and Speech Biomarkers</w:t>
      </w:r>
    </w:p>
    <w:p>
      <w:pPr>
        <w:spacing w:after="40" w:before="0"/>
        <w:jc w:val="center"/>
      </w:pPr>
      <w:r>
        <w:rPr>
          <w:rFonts w:ascii="Times New Roman" w:cs="Times New Roman" w:eastAsia="Times New Roman" w:hAnsi="Times New Roman"/>
          <w:b/>
          <w:bCs/>
          <w:smallCaps w:val="false"/>
          <w:color w:val="000000"/>
          <w:sz w:val="22"/>
          <w:szCs w:val="22"/>
        </w:rPr>
        <w:t xml:space="preserve">Tanguturi Venkata Thanuj</w:t>
      </w:r>
      <w:r>
        <w:rPr>
          <w:rFonts w:ascii="Times New Roman" w:cs="Times New Roman" w:eastAsia="Times New Roman" w:hAnsi="Times New Roman"/>
          <w:b/>
          <w:bCs/>
          <w:smallCaps w:val="false"/>
          <w:color w:val="000000"/>
          <w:sz w:val="22"/>
          <w:szCs w:val="22"/>
        </w:rPr>
        <w:t xml:space="preserve">,  Katam Krishna Chaitanya</w:t>
      </w:r>
      <w:r>
        <w:rPr>
          <w:rFonts w:ascii="Times New Roman" w:cs="Times New Roman" w:eastAsia="Times New Roman" w:hAnsi="Times New Roman"/>
          <w:b/>
          <w:bCs/>
          <w:smallCaps w:val="false"/>
          <w:color w:val="000000"/>
          <w:sz w:val="22"/>
          <w:szCs w:val="22"/>
        </w:rPr>
        <w:t xml:space="preserve">,  Pathakuntla Narendar Reddy</w:t>
      </w:r>
      <w:r>
        <w:rPr>
          <w:rFonts w:ascii="Times New Roman" w:cs="Times New Roman" w:eastAsia="Times New Roman" w:hAnsi="Times New Roman"/>
          <w:b/>
          <w:bCs/>
          <w:smallCaps w:val="false"/>
          <w:color w:val="000000"/>
          <w:sz w:val="22"/>
          <w:szCs w:val="22"/>
        </w:rPr>
        <w:t xml:space="preserve">,  and  Dr. Rajasekhar Boddu</w:t>
      </w:r>
    </w:p>
    <w:p>
      <w:pPr>
        <w:spacing w:after="20" w:before="0"/>
        <w:jc w:val="center"/>
      </w:pPr>
      <w:r>
        <w:rPr>
          <w:rFonts w:ascii="Times New Roman" w:cs="Times New Roman" w:eastAsia="Times New Roman" w:hAnsi="Times New Roman"/>
          <w:b w:val="false"/>
          <w:bCs w:val="false"/>
          <w:smallCaps w:val="false"/>
          <w:color w:val="000000"/>
          <w:sz w:val="18"/>
          <w:szCs w:val="18"/>
        </w:rPr>
        <w:t xml:space="preserve">Department of Computer Science and Engineering, VIT-AP University, Amaravati, AP 522237, India</w:t>
      </w:r>
    </w:p>
    <w:p>
      <w:pPr>
        <w:spacing w:after="120" w:before="0"/>
        <w:jc w:val="center"/>
      </w:pPr>
      <w:r>
        <w:rPr>
          <w:rFonts w:ascii="Times New Roman" w:cs="Times New Roman" w:eastAsia="Times New Roman" w:hAnsi="Times New Roman"/>
          <w:b w:val="false"/>
          <w:bCs w:val="false"/>
          <w:smallCaps w:val="false"/>
          <w:color w:val="000000"/>
          <w:sz w:val="18"/>
          <w:szCs w:val="18"/>
        </w:rPr>
        <w:t xml:space="preserve">Corresponding author: rajasekhar.boddu@vitap.ac.in</w:t>
      </w:r>
    </w:p>
    <w:p>
      <w:pPr>
        <w:pBdr>
          <w:bottom w:val="single" w:color="000000" w:sz="12" w:space="1"/>
        </w:pBdr>
        <w:spacing w:after="80" w:before="0"/>
      </w:pPr>
    </w:p>
    <w:tbl>
      <w:tblPr>
        <w:tblW w:type="dxa" w:w="10224"/>
        <w:tblBorders>
          <w:top w:val="none" w:color="FFFFFF" w:sz="0"/>
          <w:left w:val="none" w:color="FFFFFF" w:sz="0"/>
          <w:bottom w:val="none" w:color="FFFFFF" w:sz="0"/>
          <w:right w:val="none" w:color="FFFFFF" w:sz="0"/>
          <w:insideH w:val="single" w:color="auto" w:sz="4"/>
          <w:insideV w:val="single" w:color="auto" w:sz="4"/>
        </w:tblBorders>
      </w:tblPr>
      <w:tblGrid>
        <w:gridCol w:w="6700"/>
        <w:gridCol w:w="3524"/>
      </w:tblGrid>
      <w:tr>
        <w:tc>
          <w:tcPr>
            <w:tcW w:type="dxa" w:w="6700"/>
            <w:tcBorders>
              <w:top w:val="none" w:color="FFFFFF" w:sz="0"/>
              <w:left w:val="none" w:color="FFFFFF" w:sz="0"/>
              <w:bottom w:val="none" w:color="FFFFFF" w:sz="0"/>
              <w:right w:val="none" w:color="FFFFFF" w:sz="0"/>
            </w:tcBorders>
            <w:shd w:fill="FFFFFF" w:val="clear"/>
            <w:tcMar>
              <w:top w:type="dxa" w:w="0"/>
              <w:left w:type="dxa" w:w="0"/>
              <w:bottom w:type="dxa" w:w="0"/>
              <w:right w:type="dxa" w:w="280"/>
            </w:tcMar>
          </w:tcPr>
          <w:p>
            <w:pPr>
              <w:spacing w:after="50" w:before="0" w:line="240"/>
              <w:ind w:firstLine="180"/>
              <w:jc w:val="both"/>
            </w:pPr>
            <w:r>
              <w:rPr>
                <w:rFonts w:ascii="Times New Roman" w:cs="Times New Roman" w:eastAsia="Times New Roman" w:hAnsi="Times New Roman"/>
                <w:b/>
                <w:bCs/>
                <w:smallCaps w:val="false"/>
                <w:color w:val="000000"/>
                <w:sz w:val="20"/>
                <w:szCs w:val="20"/>
              </w:rPr>
              <w:t xml:space="preserve">Abstract</w:t>
            </w:r>
            <w:r>
              <w:rPr>
                <w:rFonts w:ascii="Times New Roman" w:cs="Times New Roman" w:eastAsia="Times New Roman" w:hAnsi="Times New Roman"/>
                <w:b w:val="false"/>
                <w:bCs w:val="false"/>
                <w:smallCaps w:val="false"/>
                <w:color w:val="000000"/>
                <w:sz w:val="20"/>
                <w:szCs w:val="20"/>
              </w:rPr>
              <w:t xml:space="preserve">—Parkinson's Disease (PD) is the second most prevalent neurodegenerative disorder worldwide, affecting over 10 million people. Traditional diagnosis relies on subjective clinical rating scales and expensive neuroimaging (DaTSCAN), limiting accessibility in resource-constrained settings. This paper presents a </w:t>
            </w:r>
            <w:r>
              <w:rPr>
                <w:rFonts w:ascii="Times New Roman" w:cs="Times New Roman" w:eastAsia="Times New Roman" w:hAnsi="Times New Roman"/>
                <w:b/>
                <w:bCs/>
                <w:smallCaps w:val="false"/>
                <w:color w:val="000000"/>
                <w:sz w:val="20"/>
                <w:szCs w:val="20"/>
              </w:rPr>
              <w:t xml:space="preserve">multimodal deep learning framework</w:t>
            </w:r>
            <w:r>
              <w:rPr>
                <w:rFonts w:ascii="Times New Roman" w:cs="Times New Roman" w:eastAsia="Times New Roman" w:hAnsi="Times New Roman"/>
                <w:b w:val="false"/>
                <w:bCs w:val="false"/>
                <w:smallCaps w:val="false"/>
                <w:color w:val="000000"/>
                <w:sz w:val="20"/>
                <w:szCs w:val="20"/>
              </w:rPr>
              <w:t xml:space="preserve"> for non-invasive PD screening via handwriting and speech biomarkers. Three synergistic modules are integrated: (1) a handwriting analysis engine using EfficientNet-B0 + CBAM with 16 spatial biomarkers achieving </w:t>
            </w:r>
            <w:r>
              <w:rPr>
                <w:rFonts w:ascii="Times New Roman" w:cs="Times New Roman" w:eastAsia="Times New Roman" w:hAnsi="Times New Roman"/>
                <w:b/>
                <w:bCs/>
                <w:smallCaps w:val="false"/>
                <w:color w:val="000000"/>
                <w:sz w:val="20"/>
                <w:szCs w:val="20"/>
              </w:rPr>
              <w:t xml:space="preserve">93.6% accuracy (AUC 0.985)</w:t>
            </w:r>
            <w:r>
              <w:rPr>
                <w:rFonts w:ascii="Times New Roman" w:cs="Times New Roman" w:eastAsia="Times New Roman" w:hAnsi="Times New Roman"/>
                <w:b w:val="false"/>
                <w:bCs w:val="false"/>
                <w:smallCaps w:val="false"/>
                <w:color w:val="000000"/>
                <w:sz w:val="20"/>
                <w:szCs w:val="20"/>
              </w:rPr>
              <w:t xml:space="preserve">; (2) a speech analysis engine using XLS-R 300M + cross-attention fusion with a classical ML ensemble achieving </w:t>
            </w:r>
            <w:r>
              <w:rPr>
                <w:rFonts w:ascii="Times New Roman" w:cs="Times New Roman" w:eastAsia="Times New Roman" w:hAnsi="Times New Roman"/>
                <w:b/>
                <w:bCs/>
                <w:smallCaps w:val="false"/>
                <w:color w:val="000000"/>
                <w:sz w:val="20"/>
                <w:szCs w:val="20"/>
              </w:rPr>
              <w:t xml:space="preserve">91.7% accuracy (AUC 0.971)</w:t>
            </w:r>
            <w:r>
              <w:rPr>
                <w:rFonts w:ascii="Times New Roman" w:cs="Times New Roman" w:eastAsia="Times New Roman" w:hAnsi="Times New Roman"/>
                <w:b w:val="false"/>
                <w:bCs w:val="false"/>
                <w:smallCaps w:val="false"/>
                <w:color w:val="000000"/>
                <w:sz w:val="20"/>
                <w:szCs w:val="20"/>
              </w:rPr>
              <w:t xml:space="preserve">; and (3) a novel </w:t>
            </w:r>
            <w:r>
              <w:rPr>
                <w:rFonts w:ascii="Times New Roman" w:cs="Times New Roman" w:eastAsia="Times New Roman" w:hAnsi="Times New Roman"/>
                <w:b/>
                <w:bCs/>
                <w:smallCaps w:val="false"/>
                <w:color w:val="000000"/>
                <w:sz w:val="20"/>
                <w:szCs w:val="20"/>
              </w:rPr>
              <w:t xml:space="preserve">Cross-Modal Attention Fusion Network (CMAFN)</w:t>
            </w:r>
            <w:r>
              <w:rPr>
                <w:rFonts w:ascii="Times New Roman" w:cs="Times New Roman" w:eastAsia="Times New Roman" w:hAnsi="Times New Roman"/>
                <w:b w:val="false"/>
                <w:bCs w:val="false"/>
                <w:smallCaps w:val="false"/>
                <w:color w:val="000000"/>
                <w:sz w:val="20"/>
                <w:szCs w:val="20"/>
              </w:rPr>
              <w:t xml:space="preserve"> with bidirectional Transformer cross-attention and a Gated Multimodal Unit achieving </w:t>
            </w:r>
            <w:r>
              <w:rPr>
                <w:rFonts w:ascii="Times New Roman" w:cs="Times New Roman" w:eastAsia="Times New Roman" w:hAnsi="Times New Roman"/>
                <w:b/>
                <w:bCs/>
                <w:smallCaps w:val="false"/>
                <w:color w:val="000000"/>
                <w:sz w:val="20"/>
                <w:szCs w:val="20"/>
              </w:rPr>
              <w:t xml:space="preserve">96.9% accuracy and 0.999 AUC-ROC</w:t>
            </w:r>
            <w:r>
              <w:rPr>
                <w:rFonts w:ascii="Times New Roman" w:cs="Times New Roman" w:eastAsia="Times New Roman" w:hAnsi="Times New Roman"/>
                <w:b w:val="false"/>
                <w:bCs w:val="false"/>
                <w:smallCaps w:val="false"/>
                <w:color w:val="000000"/>
                <w:sz w:val="20"/>
                <w:szCs w:val="20"/>
              </w:rPr>
              <w:t xml:space="preserve">—surpassing all prior handwriting+speech multimodal approaches. Patient-level stratified 5-fold cross-validation prevents data leakage. All modules are deployed as real-time Flask web applications requiring no GPU.</w:t>
            </w:r>
          </w:p>
          <w:p>
            <w:pPr>
              <w:spacing w:after="0" w:before="0" w:line="240"/>
              <w:ind w:firstLine="180"/>
              <w:jc w:val="both"/>
            </w:pPr>
            <w:r>
              <w:rPr>
                <w:rFonts w:ascii="Times New Roman" w:cs="Times New Roman" w:eastAsia="Times New Roman" w:hAnsi="Times New Roman"/>
                <w:b/>
                <w:bCs/>
                <w:smallCaps w:val="false"/>
                <w:color w:val="000000"/>
                <w:sz w:val="20"/>
                <w:szCs w:val="20"/>
              </w:rPr>
              <w:t xml:space="preserve">Index Terms</w:t>
            </w:r>
            <w:r>
              <w:rPr>
                <w:rFonts w:ascii="Times New Roman" w:cs="Times New Roman" w:eastAsia="Times New Roman" w:hAnsi="Times New Roman"/>
                <w:b w:val="false"/>
                <w:bCs w:val="false"/>
                <w:smallCaps w:val="false"/>
                <w:color w:val="000000"/>
                <w:sz w:val="20"/>
                <w:szCs w:val="20"/>
              </w:rPr>
              <w:t xml:space="preserve">—Parkinson's Disease, Multimodal Deep Learning, Cross-Modal Attention, EfficientNet, XLS-R, Handwriting Biomarkers, Speech Analysis, Gated Multimodal Unit, Transfer Learning, CBAM.</w:t>
            </w:r>
          </w:p>
        </w:tc>
        <w:tc>
          <w:tcPr>
            <w:tcW w:type="dxa" w:w="3524"/>
            <w:tcBorders>
              <w:top w:val="single" w:color="1a3a6b" w:sz="14"/>
              <w:left w:val="single" w:color="1a3a6b" w:sz="14"/>
              <w:bottom w:val="single" w:color="1a3a6b" w:sz="14"/>
              <w:right w:val="single" w:color="1a3a6b" w:sz="14"/>
            </w:tcBorders>
            <w:shd w:fill="0f2244" w:val="clear"/>
            <w:tcMar>
              <w:top w:type="dxa" w:w="120"/>
              <w:left w:type="dxa" w:w="160"/>
              <w:bottom w:type="dxa" w:w="100"/>
              <w:right w:type="dxa" w:w="120"/>
            </w:tcMar>
            <w:vAlign w:val="center"/>
          </w:tcPr>
          <w:p>
            <w:pPr>
              <w:spacing w:after="60" w:before="0"/>
              <w:jc w:val="center"/>
            </w:pPr>
            <w:r>
              <w:rPr>
                <w:rFonts w:ascii="Times New Roman" w:cs="Times New Roman" w:eastAsia="Times New Roman" w:hAnsi="Times New Roman"/>
                <w:b/>
                <w:bCs/>
                <w:smallCaps/>
                <w:color w:val="FFFFFF"/>
                <w:sz w:val="18"/>
                <w:szCs w:val="18"/>
              </w:rPr>
              <w:t xml:space="preserve">KEY  RESULTS</w:t>
            </w:r>
          </w:p>
          <w:p>
            <w:pPr>
              <w:pBdr>
                <w:bottom w:val="single" w:color="3a5a9b" w:sz="6" w:space="1"/>
              </w:pBdr>
              <w:spacing w:after="80" w:before="0"/>
            </w:pPr>
          </w:p>
          <w:p>
            <w:pPr>
              <w:spacing w:after="0" w:before="0"/>
              <w:jc w:val="center"/>
            </w:pPr>
            <w:r>
              <w:rPr>
                <w:rFonts w:ascii="Times New Roman" w:cs="Times New Roman" w:eastAsia="Times New Roman" w:hAnsi="Times New Roman"/>
                <w:b/>
                <w:bCs/>
                <w:smallCaps w:val="false"/>
                <w:color w:val="FFD700"/>
                <w:sz w:val="48"/>
                <w:szCs w:val="48"/>
              </w:rPr>
              <w:t xml:space="preserve">96.9%</w:t>
            </w:r>
          </w:p>
          <w:p>
            <w:pPr>
              <w:spacing w:after="80" w:before="0"/>
              <w:jc w:val="center"/>
            </w:pPr>
            <w:r>
              <w:rPr>
                <w:rFonts w:ascii="Times New Roman" w:cs="Times New Roman" w:eastAsia="Times New Roman" w:hAnsi="Times New Roman"/>
                <w:b w:val="false"/>
                <w:bCs w:val="false"/>
                <w:smallCaps/>
                <w:color w:val="88AADD"/>
                <w:sz w:val="15"/>
                <w:szCs w:val="15"/>
              </w:rPr>
              <w:t xml:space="preserve">CMAFN ACCURACY</w:t>
            </w:r>
          </w:p>
          <w:p>
            <w:pPr>
              <w:spacing w:after="0" w:before="0"/>
              <w:jc w:val="center"/>
            </w:pPr>
            <w:r>
              <w:rPr>
                <w:rFonts w:ascii="Times New Roman" w:cs="Times New Roman" w:eastAsia="Times New Roman" w:hAnsi="Times New Roman"/>
                <w:b/>
                <w:bCs/>
                <w:smallCaps w:val="false"/>
                <w:color w:val="FFD700"/>
                <w:sz w:val="48"/>
                <w:szCs w:val="48"/>
              </w:rPr>
              <w:t xml:space="preserve">0.999</w:t>
            </w:r>
          </w:p>
          <w:p>
            <w:pPr>
              <w:spacing w:after="80" w:before="0"/>
              <w:jc w:val="center"/>
            </w:pPr>
            <w:r>
              <w:rPr>
                <w:rFonts w:ascii="Times New Roman" w:cs="Times New Roman" w:eastAsia="Times New Roman" w:hAnsi="Times New Roman"/>
                <w:b w:val="false"/>
                <w:bCs w:val="false"/>
                <w:smallCaps/>
                <w:color w:val="88AADD"/>
                <w:sz w:val="15"/>
                <w:szCs w:val="15"/>
              </w:rPr>
              <w:t xml:space="preserve">AUC-ROC</w:t>
            </w:r>
          </w:p>
          <w:p>
            <w:pPr>
              <w:spacing w:after="0" w:before="0"/>
              <w:jc w:val="center"/>
            </w:pPr>
            <w:r>
              <w:rPr>
                <w:rFonts w:ascii="Times New Roman" w:cs="Times New Roman" w:eastAsia="Times New Roman" w:hAnsi="Times New Roman"/>
                <w:b/>
                <w:bCs/>
                <w:smallCaps w:val="false"/>
                <w:color w:val="66EE99"/>
                <w:sz w:val="40"/>
                <w:szCs w:val="40"/>
              </w:rPr>
              <w:t xml:space="preserve">+9.4%</w:t>
            </w:r>
          </w:p>
          <w:p>
            <w:pPr>
              <w:spacing w:after="80" w:before="0"/>
              <w:jc w:val="center"/>
            </w:pPr>
            <w:r>
              <w:rPr>
                <w:rFonts w:ascii="Times New Roman" w:cs="Times New Roman" w:eastAsia="Times New Roman" w:hAnsi="Times New Roman"/>
                <w:b w:val="false"/>
                <w:bCs w:val="false"/>
                <w:smallCaps/>
                <w:color w:val="88AADD"/>
                <w:sz w:val="15"/>
                <w:szCs w:val="15"/>
              </w:rPr>
              <w:t xml:space="preserve">vs. HW-Only</w:t>
            </w:r>
          </w:p>
          <w:p>
            <w:pPr>
              <w:spacing w:after="0" w:before="0"/>
              <w:jc w:val="center"/>
            </w:pPr>
            <w:r>
              <w:rPr>
                <w:rFonts w:ascii="Times New Roman" w:cs="Times New Roman" w:eastAsia="Times New Roman" w:hAnsi="Times New Roman"/>
                <w:b/>
                <w:bCs/>
                <w:smallCaps w:val="false"/>
                <w:color w:val="66EE99"/>
                <w:sz w:val="36"/>
                <w:szCs w:val="36"/>
              </w:rPr>
              <w:t xml:space="preserve">+2.6%</w:t>
            </w:r>
          </w:p>
          <w:p>
            <w:pPr>
              <w:spacing w:after="60" w:before="0"/>
              <w:jc w:val="center"/>
            </w:pPr>
            <w:r>
              <w:rPr>
                <w:rFonts w:ascii="Times New Roman" w:cs="Times New Roman" w:eastAsia="Times New Roman" w:hAnsi="Times New Roman"/>
                <w:b w:val="false"/>
                <w:bCs w:val="false"/>
                <w:smallCaps/>
                <w:color w:val="88AADD"/>
                <w:sz w:val="15"/>
                <w:szCs w:val="15"/>
              </w:rPr>
              <w:t xml:space="preserve">vs. Prior SOTA</w:t>
            </w:r>
          </w:p>
          <w:p>
            <w:pPr>
              <w:pBdr>
                <w:bottom w:val="single" w:color="3a5a9b" w:sz="6" w:space="1"/>
              </w:pBdr>
              <w:spacing w:after="60" w:before="0"/>
            </w:pPr>
          </w:p>
          <w:p>
            <w:pPr>
              <w:spacing w:after="24" w:before="0"/>
              <w:jc w:val="center"/>
            </w:pPr>
            <w:r>
              <w:rPr>
                <w:rFonts w:ascii="Times New Roman" w:cs="Times New Roman" w:eastAsia="Times New Roman" w:hAnsi="Times New Roman"/>
                <w:b w:val="false"/>
                <w:bCs w:val="false"/>
                <w:smallCaps w:val="false"/>
                <w:color w:val="CCDDFF"/>
                <w:sz w:val="16"/>
                <w:szCs w:val="16"/>
              </w:rPr>
              <w:t xml:space="preserve">✓  5-Fold Patient-Level CV</w:t>
            </w:r>
          </w:p>
          <w:p>
            <w:pPr>
              <w:spacing w:after="24" w:before="0"/>
              <w:jc w:val="center"/>
            </w:pPr>
            <w:r>
              <w:rPr>
                <w:rFonts w:ascii="Times New Roman" w:cs="Times New Roman" w:eastAsia="Times New Roman" w:hAnsi="Times New Roman"/>
                <w:b w:val="false"/>
                <w:bCs w:val="false"/>
                <w:smallCaps w:val="false"/>
                <w:color w:val="CCDDFF"/>
                <w:sz w:val="16"/>
                <w:szCs w:val="16"/>
              </w:rPr>
              <w:t xml:space="preserve">✓  No GPU Required</w:t>
            </w:r>
          </w:p>
          <w:p>
            <w:pPr>
              <w:spacing w:after="0" w:before="0"/>
              <w:jc w:val="center"/>
            </w:pPr>
            <w:r>
              <w:rPr>
                <w:rFonts w:ascii="Times New Roman" w:cs="Times New Roman" w:eastAsia="Times New Roman" w:hAnsi="Times New Roman"/>
                <w:b w:val="false"/>
                <w:bCs w:val="false"/>
                <w:smallCaps w:val="false"/>
                <w:color w:val="CCDDFF"/>
                <w:sz w:val="16"/>
                <w:szCs w:val="16"/>
              </w:rPr>
              <w:t xml:space="preserve">✓  Flask Web Deploy</w:t>
            </w:r>
          </w:p>
        </w:tc>
      </w:tr>
    </w:tbl>
    <w:p>
      <w:pPr>
        <w:pBdr>
          <w:top w:val="single" w:color="000000" w:sz="12" w:space="1"/>
        </w:pBdr>
        <w:spacing w:after="0" w:before="80"/>
      </w:pPr>
    </w:p>
    <w:p>
      <w:pPr>
        <w:sectPr>
          <w:headerReference w:type="default" r:id="rId7"/>
          <w:footerReference w:type="default" r:id="rId8"/>
          <w:type w:val="nextPage"/>
          <w:pgSz w:w="12240" w:h="15840" w:orient="portrait"/>
          <w:pgMar w:top="1008" w:right="1008" w:bottom="1008" w:left="1008" w:header="708" w:footer="708" w:gutter="0"/>
          <w:pgNumType/>
          <w:docGrid w:linePitch="360"/>
        </w:sectPr>
      </w:pPr>
    </w:p>
    <w:p>
      <w:pPr>
        <w:pBdr>
          <w:top w:val="single" w:color="000000" w:sz="8" w:space="2"/>
          <w:bottom w:val="single" w:color="000000" w:sz="8" w:space="2"/>
        </w:pBdr>
        <w:spacing w:after="60" w:before="160"/>
        <w:jc w:val="center"/>
      </w:pPr>
      <w:r>
        <w:rPr>
          <w:rFonts w:ascii="Times New Roman" w:cs="Times New Roman" w:eastAsia="Times New Roman" w:hAnsi="Times New Roman"/>
          <w:b/>
          <w:bCs/>
          <w:smallCaps/>
          <w:color w:val="000000"/>
          <w:sz w:val="20"/>
          <w:szCs w:val="20"/>
        </w:rPr>
        <w:t xml:space="preserve">I. Introduction</w:t>
      </w:r>
    </w:p>
    <w:p>
      <w:pPr>
        <w:spacing w:after="40" w:before="0" w:line="240"/>
        <w:jc w:val="both"/>
      </w:pPr>
      <w:r>
        <w:rPr>
          <w:rFonts w:ascii="Times New Roman" w:cs="Times New Roman" w:eastAsia="Times New Roman" w:hAnsi="Times New Roman"/>
          <w:b/>
          <w:bCs/>
          <w:smallCaps w:val="false"/>
          <w:color w:val="000000"/>
          <w:sz w:val="32"/>
          <w:szCs w:val="32"/>
        </w:rPr>
        <w:t xml:space="preserve">P</w:t>
      </w:r>
      <w:r>
        <w:rPr>
          <w:rFonts w:ascii="Times New Roman" w:cs="Times New Roman" w:eastAsia="Times New Roman" w:hAnsi="Times New Roman"/>
          <w:b w:val="false"/>
          <w:bCs w:val="false"/>
          <w:smallCaps w:val="false"/>
          <w:color w:val="000000"/>
          <w:sz w:val="20"/>
          <w:szCs w:val="20"/>
        </w:rPr>
        <w:t xml:space="preserve">ARKINSON'S Disease (PD) is the second most prevalent neurodegenerative condition globally, characterised by progressive loss of dopaminergic neurons in the substantia nigra. Cardinal motor symptoms—resting tremor, rigidity, bradykinesia, and postural instability—emerge only after 60–80% of these neurons are lost [1], making early detection imperative.</w:t>
      </w:r>
    </w:p>
    <w:p>
      <w:pPr>
        <w:spacing w:after="40" w:before="0" w:line="240" w:lineRule="auto"/>
        <w:ind w:firstLine="180"/>
        <w:jc w:val="both"/>
      </w:pPr>
      <w:r>
        <w:rPr>
          <w:rFonts w:ascii="Times New Roman" w:cs="Times New Roman" w:eastAsia="Times New Roman" w:hAnsi="Times New Roman"/>
          <w:b w:val="false"/>
          <w:bCs w:val="false"/>
          <w:smallCaps w:val="false"/>
          <w:color w:val="000000"/>
          <w:sz w:val="20"/>
          <w:szCs w:val="20"/>
        </w:rPr>
        <w:t xml:space="preserve">Traditional diagnosis relies on the Unified Parkinson's Disease Rating Scale (UPDRS) and costly DaTSCAN neuroimaging ($1,500–$4,000 per scan). Both are subjective, inaccessible in resource-limited settings, and effective only at late stages.</w:t>
      </w:r>
    </w:p>
    <w:p>
      <w:pPr>
        <w:spacing w:after="40" w:before="0" w:line="240" w:lineRule="auto"/>
        <w:ind w:firstLine="180"/>
        <w:jc w:val="both"/>
      </w:pPr>
      <w:r>
        <w:rPr>
          <w:rFonts w:ascii="Times New Roman" w:cs="Times New Roman" w:eastAsia="Times New Roman" w:hAnsi="Times New Roman"/>
          <w:b w:val="false"/>
          <w:bCs w:val="false"/>
          <w:smallCaps w:val="false"/>
          <w:color w:val="000000"/>
          <w:sz w:val="20"/>
          <w:szCs w:val="20"/>
        </w:rPr>
        <w:t xml:space="preserve">Non-invasive biomarkers from handwriting (micrographia) and speech (dysarthria, hypophonia) offer a compelling alternative, capturable with consumer hardware. Handwriting reflects peripheral fine motor control; speech reflects central phonatory function—they are mechanistically complementary, and a system jointly modelling both is expected to substantially outperform either modality alone.</w:t>
      </w:r>
    </w:p>
    <w:p>
      <w:pPr>
        <w:spacing w:after="40" w:before="120"/>
        <w:jc w:val="left"/>
      </w:pPr>
      <w:r>
        <w:rPr>
          <w:rFonts w:ascii="Times New Roman" w:cs="Times New Roman" w:eastAsia="Times New Roman" w:hAnsi="Times New Roman"/>
          <w:b/>
          <w:bCs/>
          <w:smallCaps w:val="false"/>
          <w:color w:val="000000"/>
          <w:sz w:val="20"/>
          <w:szCs w:val="20"/>
        </w:rPr>
        <w:t xml:space="preserve">A. Contributions</w:t>
      </w:r>
    </w:p>
    <w:p>
      <w:pPr>
        <w:spacing w:after="30" w:before="0"/>
        <w:ind w:left="360"/>
        <w:jc w:val="both"/>
      </w:pPr>
      <w:r>
        <w:rPr>
          <w:rFonts w:ascii="Times New Roman" w:cs="Times New Roman" w:eastAsia="Times New Roman" w:hAnsi="Times New Roman"/>
          <w:b/>
          <w:bCs/>
          <w:smallCaps w:val="false"/>
          <w:color w:val="000000"/>
          <w:sz w:val="20"/>
          <w:szCs w:val="20"/>
        </w:rPr>
        <w:t xml:space="preserve">[C1] </w:t>
      </w:r>
      <w:r>
        <w:rPr>
          <w:rFonts w:ascii="Times New Roman" w:cs="Times New Roman" w:eastAsia="Times New Roman" w:hAnsi="Times New Roman"/>
          <w:b w:val="false"/>
          <w:bCs w:val="false"/>
          <w:smallCaps w:val="false"/>
          <w:color w:val="000000"/>
          <w:sz w:val="20"/>
          <w:szCs w:val="20"/>
        </w:rPr>
        <w:t xml:space="preserve">A 16-feature spatial biomarker framework for handwriting covering morphological, geometric, statistical, and complexity-based measures via OpenCV.</w:t>
      </w:r>
    </w:p>
    <w:p>
      <w:pPr>
        <w:spacing w:after="30" w:before="0"/>
        <w:ind w:left="360"/>
        <w:jc w:val="both"/>
      </w:pPr>
      <w:r>
        <w:rPr>
          <w:rFonts w:ascii="Times New Roman" w:cs="Times New Roman" w:eastAsia="Times New Roman" w:hAnsi="Times New Roman"/>
          <w:b/>
          <w:bCs/>
          <w:smallCaps w:val="false"/>
          <w:color w:val="000000"/>
          <w:sz w:val="20"/>
          <w:szCs w:val="20"/>
        </w:rPr>
        <w:t xml:space="preserve">[C2] </w:t>
      </w:r>
      <w:r>
        <w:rPr>
          <w:rFonts w:ascii="Times New Roman" w:cs="Times New Roman" w:eastAsia="Times New Roman" w:hAnsi="Times New Roman"/>
          <w:b w:val="false"/>
          <w:bCs w:val="false"/>
          <w:smallCaps w:val="false"/>
          <w:color w:val="000000"/>
          <w:sz w:val="20"/>
          <w:szCs w:val="20"/>
        </w:rPr>
        <w:t xml:space="preserve">Multi-pathway speech DL model: XLS-R 300M + mel-spectrogram CNN + MFCC + Praat acoustics via cross-attention fusion (91.7%).</w:t>
      </w:r>
    </w:p>
    <w:p>
      <w:pPr>
        <w:spacing w:after="30" w:before="0"/>
        <w:ind w:left="360"/>
        <w:jc w:val="both"/>
      </w:pPr>
      <w:r>
        <w:rPr>
          <w:rFonts w:ascii="Times New Roman" w:cs="Times New Roman" w:eastAsia="Times New Roman" w:hAnsi="Times New Roman"/>
          <w:b/>
          <w:bCs/>
          <w:smallCaps w:val="false"/>
          <w:color w:val="000000"/>
          <w:sz w:val="20"/>
          <w:szCs w:val="20"/>
        </w:rPr>
        <w:t xml:space="preserve">[C3] </w:t>
      </w:r>
      <w:r>
        <w:rPr>
          <w:rFonts w:ascii="Times New Roman" w:cs="Times New Roman" w:eastAsia="Times New Roman" w:hAnsi="Times New Roman"/>
          <w:b w:val="false"/>
          <w:bCs w:val="false"/>
          <w:smallCaps w:val="false"/>
          <w:color w:val="000000"/>
          <w:sz w:val="20"/>
          <w:szCs w:val="20"/>
        </w:rPr>
        <w:t xml:space="preserve">CMAFN: bidirectional Transformer cross-attention + Gated Multimodal Unit achieving 96.9% accuracy, AUC 0.999—state-of-the-art for handwriting+speech PD detection.</w:t>
      </w:r>
    </w:p>
    <w:p>
      <w:pPr>
        <w:spacing w:after="30" w:before="0"/>
        <w:ind w:left="360"/>
        <w:jc w:val="both"/>
      </w:pPr>
      <w:r>
        <w:rPr>
          <w:rFonts w:ascii="Times New Roman" w:cs="Times New Roman" w:eastAsia="Times New Roman" w:hAnsi="Times New Roman"/>
          <w:b/>
          <w:bCs/>
          <w:smallCaps w:val="false"/>
          <w:color w:val="000000"/>
          <w:sz w:val="20"/>
          <w:szCs w:val="20"/>
        </w:rPr>
        <w:t xml:space="preserve">[C4] </w:t>
      </w:r>
      <w:r>
        <w:rPr>
          <w:rFonts w:ascii="Times New Roman" w:cs="Times New Roman" w:eastAsia="Times New Roman" w:hAnsi="Times New Roman"/>
          <w:b w:val="false"/>
          <w:bCs w:val="false"/>
          <w:smallCaps w:val="false"/>
          <w:color w:val="000000"/>
          <w:sz w:val="20"/>
          <w:szCs w:val="20"/>
        </w:rPr>
        <w:t xml:space="preserve">Patient-level group k-fold CV with no speaker leakage across all experiments.</w:t>
      </w:r>
    </w:p>
    <w:p>
      <w:pPr>
        <w:spacing w:after="30" w:before="0"/>
        <w:ind w:left="360"/>
        <w:jc w:val="both"/>
      </w:pPr>
      <w:r>
        <w:rPr>
          <w:rFonts w:ascii="Times New Roman" w:cs="Times New Roman" w:eastAsia="Times New Roman" w:hAnsi="Times New Roman"/>
          <w:b/>
          <w:bCs/>
          <w:smallCaps w:val="false"/>
          <w:color w:val="000000"/>
          <w:sz w:val="20"/>
          <w:szCs w:val="20"/>
        </w:rPr>
        <w:t xml:space="preserve">[C5] </w:t>
      </w:r>
      <w:r>
        <w:rPr>
          <w:rFonts w:ascii="Times New Roman" w:cs="Times New Roman" w:eastAsia="Times New Roman" w:hAnsi="Times New Roman"/>
          <w:b w:val="false"/>
          <w:bCs w:val="false"/>
          <w:smallCaps w:val="false"/>
          <w:color w:val="000000"/>
          <w:sz w:val="20"/>
          <w:szCs w:val="20"/>
        </w:rPr>
        <w:t xml:space="preserve">Real-time Flask web applications; &lt;3 s end-to-end, no GPU required.</w:t>
      </w:r>
    </w:p>
    <w:p>
      <w:pPr>
        <w:spacing w:after="40" w:before="0"/>
      </w:pPr>
    </w:p>
    <w:p>
      <w:pPr>
        <w:pBdr>
          <w:top w:val="single" w:color="000000" w:sz="8" w:space="2"/>
          <w:bottom w:val="single" w:color="000000" w:sz="8" w:space="2"/>
        </w:pBdr>
        <w:spacing w:after="60" w:before="160"/>
        <w:jc w:val="center"/>
      </w:pPr>
      <w:r>
        <w:rPr>
          <w:rFonts w:ascii="Times New Roman" w:cs="Times New Roman" w:eastAsia="Times New Roman" w:hAnsi="Times New Roman"/>
          <w:b/>
          <w:bCs/>
          <w:smallCaps/>
          <w:color w:val="000000"/>
          <w:sz w:val="20"/>
          <w:szCs w:val="20"/>
        </w:rPr>
        <w:t xml:space="preserve">II. Related Work</w:t>
      </w:r>
    </w:p>
    <w:p>
      <w:pPr>
        <w:spacing w:after="40" w:before="120"/>
        <w:jc w:val="left"/>
      </w:pPr>
      <w:r>
        <w:rPr>
          <w:rFonts w:ascii="Times New Roman" w:cs="Times New Roman" w:eastAsia="Times New Roman" w:hAnsi="Times New Roman"/>
          <w:b/>
          <w:bCs/>
          <w:smallCaps w:val="false"/>
          <w:color w:val="000000"/>
          <w:sz w:val="20"/>
          <w:szCs w:val="20"/>
        </w:rPr>
        <w:t xml:space="preserve">A. Handwriting-Based Detection</w:t>
      </w:r>
    </w:p>
    <w:p>
      <w:pPr>
        <w:spacing w:after="40" w:before="0" w:line="240" w:lineRule="auto"/>
        <w:ind w:firstLine="180"/>
        <w:jc w:val="both"/>
      </w:pPr>
      <w:r>
        <w:rPr>
          <w:rFonts w:ascii="Times New Roman" w:cs="Times New Roman" w:eastAsia="Times New Roman" w:hAnsi="Times New Roman"/>
          <w:b w:val="false"/>
          <w:bCs w:val="false"/>
          <w:smallCaps w:val="false"/>
          <w:color w:val="000000"/>
          <w:sz w:val="20"/>
          <w:szCs w:val="20"/>
        </w:rPr>
        <w:t xml:space="preserve">Kinematic SVM approaches achieved 87.4% [Zham, 2017]. CNN-based methods progressed from AlexNet fine-tuning (85.0%) [1] to ResNet50 (87.2%) [2] and multi-model ensembles (88.8%) [4]. Li et al. [6] achieved the prior SOTA of 90.1% with spatial attention CNNs—surpassed by our stacking ensemble by +3.47 pp.</w:t>
      </w:r>
    </w:p>
    <w:p>
      <w:pPr>
        <w:spacing w:after="40" w:before="120"/>
        <w:jc w:val="left"/>
      </w:pPr>
      <w:r>
        <w:rPr>
          <w:rFonts w:ascii="Times New Roman" w:cs="Times New Roman" w:eastAsia="Times New Roman" w:hAnsi="Times New Roman"/>
          <w:b/>
          <w:bCs/>
          <w:smallCaps w:val="false"/>
          <w:color w:val="000000"/>
          <w:sz w:val="20"/>
          <w:szCs w:val="20"/>
        </w:rPr>
        <w:t xml:space="preserve">B. Speech-Based Detection</w:t>
      </w:r>
    </w:p>
    <w:p>
      <w:pPr>
        <w:spacing w:after="40" w:before="0" w:line="240" w:lineRule="auto"/>
        <w:ind w:firstLine="180"/>
        <w:jc w:val="both"/>
      </w:pPr>
      <w:r>
        <w:rPr>
          <w:rFonts w:ascii="Times New Roman" w:cs="Times New Roman" w:eastAsia="Times New Roman" w:hAnsi="Times New Roman"/>
          <w:b w:val="false"/>
          <w:bCs w:val="false"/>
          <w:smallCaps w:val="false"/>
          <w:color w:val="000000"/>
          <w:sz w:val="20"/>
          <w:szCs w:val="20"/>
        </w:rPr>
        <w:t xml:space="preserve">Hand-crafted MFCC+SVM baselines [Little, 2009] progressed through XGBoost on 132 features (86.7%) [12] to self-supervised models: Wav2Vec 2.0 achieved 86.8% [14]. Our XLS-R 300M-based model reaches 91.7% with patient-level CV—≥2.2 pp over all prior works.</w:t>
      </w:r>
    </w:p>
    <w:p>
      <w:pPr>
        <w:spacing w:after="40" w:before="120"/>
        <w:jc w:val="left"/>
      </w:pPr>
      <w:r>
        <w:rPr>
          <w:rFonts w:ascii="Times New Roman" w:cs="Times New Roman" w:eastAsia="Times New Roman" w:hAnsi="Times New Roman"/>
          <w:b/>
          <w:bCs/>
          <w:smallCaps w:val="false"/>
          <w:color w:val="000000"/>
          <w:sz w:val="20"/>
          <w:szCs w:val="20"/>
        </w:rPr>
        <w:t xml:space="preserve">C. Multimodal Fusion</w:t>
      </w:r>
    </w:p>
    <w:p>
      <w:pPr>
        <w:spacing w:after="40" w:before="0" w:line="240" w:lineRule="auto"/>
        <w:ind w:firstLine="180"/>
        <w:jc w:val="both"/>
      </w:pPr>
      <w:r>
        <w:rPr>
          <w:rFonts w:ascii="Times New Roman" w:cs="Times New Roman" w:eastAsia="Times New Roman" w:hAnsi="Times New Roman"/>
          <w:b w:val="false"/>
          <w:bCs w:val="false"/>
          <w:smallCaps w:val="false"/>
          <w:color w:val="000000"/>
          <w:sz w:val="20"/>
          <w:szCs w:val="20"/>
        </w:rPr>
        <w:t xml:space="preserve">Zhang et al. [17] fused gait+speech achieving 91.2%. Vasquez-Correa et al. [20] reached 94.3% with a three-modal hierarchical network—the prior SOTA. Our CMAFN surpasses this by +2.64 pp using only two modalities, with the only validated AUC-ROC of 0.999 using patient-level CV.</w:t>
      </w:r>
    </w:p>
    <w:p>
      <w:pPr>
        <w:spacing w:after="40" w:before="0"/>
      </w:pPr>
    </w:p>
    <w:p>
      <w:pPr>
        <w:spacing w:after="40" w:before="100"/>
        <w:jc w:val="center"/>
      </w:pPr>
      <w:r>
        <w:rPr>
          <w:rFonts w:ascii="Times New Roman" w:cs="Times New Roman" w:eastAsia="Times New Roman" w:hAnsi="Times New Roman"/>
          <w:b/>
          <w:bCs/>
          <w:smallCaps/>
          <w:color w:val="000000"/>
          <w:sz w:val="18"/>
          <w:szCs w:val="18"/>
        </w:rPr>
        <w:t xml:space="preserve">TABLE I — Comparative Survey of PD Detection Literature</w:t>
      </w:r>
    </w:p>
    <w:tbl>
      <w:tblPr>
        <w:tblW w:type="dxa" w:w="5500"/>
        <w:tblBorders>
          <w:top w:val="none" w:color="FFFFFF" w:sz="0"/>
          <w:left w:val="none" w:color="FFFFFF" w:sz="0"/>
          <w:bottom w:val="none" w:color="FFFFFF" w:sz="0"/>
          <w:right w:val="none" w:color="FFFFFF" w:sz="0"/>
          <w:insideH w:val="single" w:color="auto" w:sz="4"/>
          <w:insideV w:val="single" w:color="auto" w:sz="4"/>
        </w:tblBorders>
      </w:tblPr>
      <w:tblGrid>
        <w:gridCol w:w="1500"/>
        <w:gridCol w:w="1050"/>
        <w:gridCol w:w="1600"/>
        <w:gridCol w:w="700"/>
        <w:gridCol w:w="650"/>
      </w:tblGrid>
      <w:tr>
        <w:trPr>
          <w:tblHeader/>
        </w:trPr>
        <w:tc>
          <w:tcPr>
            <w:tcW w:type="dxa" w:w="1500"/>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Study</w:t>
            </w:r>
          </w:p>
        </w:tc>
        <w:tc>
          <w:tcPr>
            <w:tcW w:type="dxa" w:w="1050"/>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Modality</w:t>
            </w:r>
          </w:p>
        </w:tc>
        <w:tc>
          <w:tcPr>
            <w:tcW w:type="dxa" w:w="1600"/>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Method</w:t>
            </w:r>
          </w:p>
        </w:tc>
        <w:tc>
          <w:tcPr>
            <w:tcW w:type="dxa" w:w="700"/>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Acc.</w:t>
            </w:r>
          </w:p>
        </w:tc>
        <w:tc>
          <w:tcPr>
            <w:tcW w:type="dxa" w:w="650"/>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AUC</w:t>
            </w:r>
          </w:p>
        </w:tc>
      </w:tr>
      <w:tr>
        <w:tc>
          <w:tcPr>
            <w:tcW w:type="dxa" w:w="15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Pereira 2018 [1]</w:t>
            </w:r>
          </w:p>
        </w:tc>
        <w:tc>
          <w:tcPr>
            <w:tcW w:type="dxa" w:w="105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HW</w:t>
            </w:r>
          </w:p>
        </w:tc>
        <w:tc>
          <w:tcPr>
            <w:tcW w:type="dxa" w:w="16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CNN (AlexNet)</w:t>
            </w:r>
          </w:p>
        </w:tc>
        <w:tc>
          <w:tcPr>
            <w:tcW w:type="dxa" w:w="7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85.0%</w:t>
            </w:r>
          </w:p>
        </w:tc>
        <w:tc>
          <w:tcPr>
            <w:tcW w:type="dxa" w:w="65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w:t>
            </w:r>
          </w:p>
        </w:tc>
      </w:tr>
      <w:tr>
        <w:tc>
          <w:tcPr>
            <w:tcW w:type="dxa" w:w="15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Li et al. [6]</w:t>
            </w:r>
          </w:p>
        </w:tc>
        <w:tc>
          <w:tcPr>
            <w:tcW w:type="dxa" w:w="105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HW</w:t>
            </w:r>
          </w:p>
        </w:tc>
        <w:tc>
          <w:tcPr>
            <w:tcW w:type="dxa" w:w="16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Spatial Attn-CNN</w:t>
            </w:r>
          </w:p>
        </w:tc>
        <w:tc>
          <w:tcPr>
            <w:tcW w:type="dxa" w:w="7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90.1%</w:t>
            </w:r>
          </w:p>
        </w:tc>
        <w:tc>
          <w:tcPr>
            <w:tcW w:type="dxa" w:w="65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w:t>
            </w:r>
          </w:p>
        </w:tc>
      </w:tr>
      <w:tr>
        <w:tc>
          <w:tcPr>
            <w:tcW w:type="dxa" w:w="15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Sakar 2019</w:t>
            </w:r>
          </w:p>
        </w:tc>
        <w:tc>
          <w:tcPr>
            <w:tcW w:type="dxa" w:w="105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Speech</w:t>
            </w:r>
          </w:p>
        </w:tc>
        <w:tc>
          <w:tcPr>
            <w:tcW w:type="dxa" w:w="16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SVM + MFCC</w:t>
            </w:r>
          </w:p>
        </w:tc>
        <w:tc>
          <w:tcPr>
            <w:tcW w:type="dxa" w:w="7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86.0%</w:t>
            </w:r>
          </w:p>
        </w:tc>
        <w:tc>
          <w:tcPr>
            <w:tcW w:type="dxa" w:w="65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0.91</w:t>
            </w:r>
          </w:p>
        </w:tc>
      </w:tr>
      <w:tr>
        <w:tc>
          <w:tcPr>
            <w:tcW w:type="dxa" w:w="15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Orobic [14]</w:t>
            </w:r>
          </w:p>
        </w:tc>
        <w:tc>
          <w:tcPr>
            <w:tcW w:type="dxa" w:w="105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Speech</w:t>
            </w:r>
          </w:p>
        </w:tc>
        <w:tc>
          <w:tcPr>
            <w:tcW w:type="dxa" w:w="16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Wav2Vec 2.0</w:t>
            </w:r>
          </w:p>
        </w:tc>
        <w:tc>
          <w:tcPr>
            <w:tcW w:type="dxa" w:w="7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86.8%</w:t>
            </w:r>
          </w:p>
        </w:tc>
        <w:tc>
          <w:tcPr>
            <w:tcW w:type="dxa" w:w="65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0.93</w:t>
            </w:r>
          </w:p>
        </w:tc>
      </w:tr>
      <w:tr>
        <w:tc>
          <w:tcPr>
            <w:tcW w:type="dxa" w:w="15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Mughal [16]</w:t>
            </w:r>
          </w:p>
        </w:tc>
        <w:tc>
          <w:tcPr>
            <w:tcW w:type="dxa" w:w="105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Speech</w:t>
            </w:r>
          </w:p>
        </w:tc>
        <w:tc>
          <w:tcPr>
            <w:tcW w:type="dxa" w:w="16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CapsNet + MFCC</w:t>
            </w:r>
          </w:p>
        </w:tc>
        <w:tc>
          <w:tcPr>
            <w:tcW w:type="dxa" w:w="7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84.5%</w:t>
            </w:r>
          </w:p>
        </w:tc>
        <w:tc>
          <w:tcPr>
            <w:tcW w:type="dxa" w:w="65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w:t>
            </w:r>
          </w:p>
        </w:tc>
      </w:tr>
      <w:tr>
        <w:tc>
          <w:tcPr>
            <w:tcW w:type="dxa" w:w="15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V-Correa [20]</w:t>
            </w:r>
          </w:p>
        </w:tc>
        <w:tc>
          <w:tcPr>
            <w:tcW w:type="dxa" w:w="105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Multi(3)</w:t>
            </w:r>
          </w:p>
        </w:tc>
        <w:tc>
          <w:tcPr>
            <w:tcW w:type="dxa" w:w="16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Hierarchical Fusion</w:t>
            </w:r>
          </w:p>
        </w:tc>
        <w:tc>
          <w:tcPr>
            <w:tcW w:type="dxa" w:w="7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94.3%</w:t>
            </w:r>
          </w:p>
        </w:tc>
        <w:tc>
          <w:tcPr>
            <w:tcW w:type="dxa" w:w="65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w:t>
            </w:r>
          </w:p>
        </w:tc>
      </w:tr>
      <w:tr>
        <w:tc>
          <w:tcPr>
            <w:tcW w:type="dxa" w:w="1500"/>
            <w:tcBorders>
              <w:top w:val="none" w:color="FFFFFF" w:sz="0"/>
              <w:left w:val="none" w:color="FFFFFF" w:sz="0"/>
              <w:bottom w:val="single" w:color="CCCCCC" w:sz="2"/>
              <w:right w:val="none" w:color="FFFFFF" w:sz="0"/>
            </w:tcBorders>
            <w:shd w:fill="EEF3FB" w:val="clear"/>
            <w:tcMar>
              <w:top w:type="dxa" w:w="45"/>
              <w:left w:type="dxa" w:w="90"/>
              <w:bottom w:type="dxa" w:w="45"/>
              <w:right w:type="dxa" w:w="90"/>
            </w:tcMar>
          </w:tcPr>
          <w:p>
            <w:pPr>
              <w:spacing w:after="0" w:before="0"/>
              <w:jc w:val="left"/>
            </w:pPr>
            <w:r>
              <w:rPr>
                <w:rFonts w:ascii="Times New Roman" w:cs="Times New Roman" w:eastAsia="Times New Roman" w:hAnsi="Times New Roman"/>
                <w:b/>
                <w:bCs/>
                <w:smallCaps w:val="false"/>
                <w:color w:val="000000"/>
                <w:sz w:val="18"/>
                <w:szCs w:val="18"/>
              </w:rPr>
              <w:t xml:space="preserve">This Work: HW</w:t>
            </w:r>
          </w:p>
        </w:tc>
        <w:tc>
          <w:tcPr>
            <w:tcW w:type="dxa" w:w="1050"/>
            <w:tcBorders>
              <w:top w:val="none" w:color="FFFFFF" w:sz="0"/>
              <w:left w:val="none" w:color="FFFFFF" w:sz="0"/>
              <w:bottom w:val="single" w:color="CCCCCC" w:sz="2"/>
              <w:right w:val="none" w:color="FFFFFF" w:sz="0"/>
            </w:tcBorders>
            <w:shd w:fill="EEF3FB" w:val="clear"/>
            <w:tcMar>
              <w:top w:type="dxa" w:w="45"/>
              <w:left w:type="dxa" w:w="90"/>
              <w:bottom w:type="dxa" w:w="4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HW</w:t>
            </w:r>
          </w:p>
        </w:tc>
        <w:tc>
          <w:tcPr>
            <w:tcW w:type="dxa" w:w="1600"/>
            <w:tcBorders>
              <w:top w:val="none" w:color="FFFFFF" w:sz="0"/>
              <w:left w:val="none" w:color="FFFFFF" w:sz="0"/>
              <w:bottom w:val="single" w:color="CCCCCC" w:sz="2"/>
              <w:right w:val="none" w:color="FFFFFF" w:sz="0"/>
            </w:tcBorders>
            <w:shd w:fill="EEF3FB" w:val="clear"/>
            <w:tcMar>
              <w:top w:type="dxa" w:w="45"/>
              <w:left w:type="dxa" w:w="90"/>
              <w:bottom w:type="dxa" w:w="4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EffNet-B0+CBAM Stack</w:t>
            </w:r>
          </w:p>
        </w:tc>
        <w:tc>
          <w:tcPr>
            <w:tcW w:type="dxa" w:w="700"/>
            <w:tcBorders>
              <w:top w:val="none" w:color="FFFFFF" w:sz="0"/>
              <w:left w:val="none" w:color="FFFFFF" w:sz="0"/>
              <w:bottom w:val="single" w:color="CCCCCC" w:sz="2"/>
              <w:right w:val="none" w:color="FFFFFF" w:sz="0"/>
            </w:tcBorders>
            <w:shd w:fill="EEF3FB" w:val="clear"/>
            <w:tcMar>
              <w:top w:type="dxa" w:w="45"/>
              <w:left w:type="dxa" w:w="90"/>
              <w:bottom w:type="dxa" w:w="4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93.6%</w:t>
            </w:r>
          </w:p>
        </w:tc>
        <w:tc>
          <w:tcPr>
            <w:tcW w:type="dxa" w:w="650"/>
            <w:tcBorders>
              <w:top w:val="none" w:color="FFFFFF" w:sz="0"/>
              <w:left w:val="none" w:color="FFFFFF" w:sz="0"/>
              <w:bottom w:val="single" w:color="CCCCCC" w:sz="2"/>
              <w:right w:val="none" w:color="FFFFFF" w:sz="0"/>
            </w:tcBorders>
            <w:shd w:fill="EEF3FB" w:val="clear"/>
            <w:tcMar>
              <w:top w:type="dxa" w:w="45"/>
              <w:left w:type="dxa" w:w="90"/>
              <w:bottom w:type="dxa" w:w="4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0.985</w:t>
            </w:r>
          </w:p>
        </w:tc>
      </w:tr>
      <w:tr>
        <w:tc>
          <w:tcPr>
            <w:tcW w:type="dxa" w:w="1500"/>
            <w:tcBorders>
              <w:top w:val="none" w:color="FFFFFF" w:sz="0"/>
              <w:left w:val="none" w:color="FFFFFF" w:sz="0"/>
              <w:bottom w:val="single" w:color="CCCCCC" w:sz="2"/>
              <w:right w:val="none" w:color="FFFFFF" w:sz="0"/>
            </w:tcBorders>
            <w:shd w:fill="EEF3FB" w:val="clear"/>
            <w:tcMar>
              <w:top w:type="dxa" w:w="45"/>
              <w:left w:type="dxa" w:w="90"/>
              <w:bottom w:type="dxa" w:w="45"/>
              <w:right w:type="dxa" w:w="90"/>
            </w:tcMar>
          </w:tcPr>
          <w:p>
            <w:pPr>
              <w:spacing w:after="0" w:before="0"/>
              <w:jc w:val="left"/>
            </w:pPr>
            <w:r>
              <w:rPr>
                <w:rFonts w:ascii="Times New Roman" w:cs="Times New Roman" w:eastAsia="Times New Roman" w:hAnsi="Times New Roman"/>
                <w:b/>
                <w:bCs/>
                <w:smallCaps w:val="false"/>
                <w:color w:val="000000"/>
                <w:sz w:val="18"/>
                <w:szCs w:val="18"/>
              </w:rPr>
              <w:t xml:space="preserve">This Work: Speech</w:t>
            </w:r>
          </w:p>
        </w:tc>
        <w:tc>
          <w:tcPr>
            <w:tcW w:type="dxa" w:w="1050"/>
            <w:tcBorders>
              <w:top w:val="none" w:color="FFFFFF" w:sz="0"/>
              <w:left w:val="none" w:color="FFFFFF" w:sz="0"/>
              <w:bottom w:val="single" w:color="CCCCCC" w:sz="2"/>
              <w:right w:val="none" w:color="FFFFFF" w:sz="0"/>
            </w:tcBorders>
            <w:shd w:fill="EEF3FB" w:val="clear"/>
            <w:tcMar>
              <w:top w:type="dxa" w:w="45"/>
              <w:left w:type="dxa" w:w="90"/>
              <w:bottom w:type="dxa" w:w="4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Speech</w:t>
            </w:r>
          </w:p>
        </w:tc>
        <w:tc>
          <w:tcPr>
            <w:tcW w:type="dxa" w:w="1600"/>
            <w:tcBorders>
              <w:top w:val="none" w:color="FFFFFF" w:sz="0"/>
              <w:left w:val="none" w:color="FFFFFF" w:sz="0"/>
              <w:bottom w:val="single" w:color="CCCCCC" w:sz="2"/>
              <w:right w:val="none" w:color="FFFFFF" w:sz="0"/>
            </w:tcBorders>
            <w:shd w:fill="EEF3FB" w:val="clear"/>
            <w:tcMar>
              <w:top w:type="dxa" w:w="45"/>
              <w:left w:type="dxa" w:w="90"/>
              <w:bottom w:type="dxa" w:w="4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XLS-R + Cross-Attn</w:t>
            </w:r>
          </w:p>
        </w:tc>
        <w:tc>
          <w:tcPr>
            <w:tcW w:type="dxa" w:w="700"/>
            <w:tcBorders>
              <w:top w:val="none" w:color="FFFFFF" w:sz="0"/>
              <w:left w:val="none" w:color="FFFFFF" w:sz="0"/>
              <w:bottom w:val="single" w:color="CCCCCC" w:sz="2"/>
              <w:right w:val="none" w:color="FFFFFF" w:sz="0"/>
            </w:tcBorders>
            <w:shd w:fill="EEF3FB" w:val="clear"/>
            <w:tcMar>
              <w:top w:type="dxa" w:w="45"/>
              <w:left w:type="dxa" w:w="90"/>
              <w:bottom w:type="dxa" w:w="4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91.7%</w:t>
            </w:r>
          </w:p>
        </w:tc>
        <w:tc>
          <w:tcPr>
            <w:tcW w:type="dxa" w:w="650"/>
            <w:tcBorders>
              <w:top w:val="none" w:color="FFFFFF" w:sz="0"/>
              <w:left w:val="none" w:color="FFFFFF" w:sz="0"/>
              <w:bottom w:val="single" w:color="CCCCCC" w:sz="2"/>
              <w:right w:val="none" w:color="FFFFFF" w:sz="0"/>
            </w:tcBorders>
            <w:shd w:fill="EEF3FB" w:val="clear"/>
            <w:tcMar>
              <w:top w:type="dxa" w:w="45"/>
              <w:left w:type="dxa" w:w="90"/>
              <w:bottom w:type="dxa" w:w="4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0.971</w:t>
            </w:r>
          </w:p>
        </w:tc>
      </w:tr>
      <w:tr>
        <w:tc>
          <w:tcPr>
            <w:tcW w:type="dxa" w:w="1500"/>
            <w:tcBorders>
              <w:top w:val="none" w:color="FFFFFF" w:sz="0"/>
              <w:left w:val="none" w:color="FFFFFF" w:sz="0"/>
              <w:bottom w:val="single" w:color="000000" w:sz="8"/>
              <w:right w:val="none" w:color="FFFFFF" w:sz="0"/>
            </w:tcBorders>
            <w:shd w:fill="EEF3FB" w:val="clear"/>
            <w:tcMar>
              <w:top w:type="dxa" w:w="45"/>
              <w:left w:type="dxa" w:w="90"/>
              <w:bottom w:type="dxa" w:w="45"/>
              <w:right w:type="dxa" w:w="90"/>
            </w:tcMar>
          </w:tcPr>
          <w:p>
            <w:pPr>
              <w:spacing w:after="0" w:before="0"/>
              <w:jc w:val="left"/>
            </w:pPr>
            <w:r>
              <w:rPr>
                <w:rFonts w:ascii="Times New Roman" w:cs="Times New Roman" w:eastAsia="Times New Roman" w:hAnsi="Times New Roman"/>
                <w:b/>
                <w:bCs/>
                <w:smallCaps w:val="false"/>
                <w:color w:val="000000"/>
                <w:sz w:val="18"/>
                <w:szCs w:val="18"/>
              </w:rPr>
              <w:t xml:space="preserve">This Work: CMAFN</w:t>
            </w:r>
          </w:p>
        </w:tc>
        <w:tc>
          <w:tcPr>
            <w:tcW w:type="dxa" w:w="1050"/>
            <w:tcBorders>
              <w:top w:val="none" w:color="FFFFFF" w:sz="0"/>
              <w:left w:val="none" w:color="FFFFFF" w:sz="0"/>
              <w:bottom w:val="single" w:color="000000" w:sz="8"/>
              <w:right w:val="none" w:color="FFFFFF" w:sz="0"/>
            </w:tcBorders>
            <w:shd w:fill="EEF3FB" w:val="clear"/>
            <w:tcMar>
              <w:top w:type="dxa" w:w="45"/>
              <w:left w:type="dxa" w:w="90"/>
              <w:bottom w:type="dxa" w:w="4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Multi(2)</w:t>
            </w:r>
          </w:p>
        </w:tc>
        <w:tc>
          <w:tcPr>
            <w:tcW w:type="dxa" w:w="1600"/>
            <w:tcBorders>
              <w:top w:val="none" w:color="FFFFFF" w:sz="0"/>
              <w:left w:val="none" w:color="FFFFFF" w:sz="0"/>
              <w:bottom w:val="single" w:color="000000" w:sz="8"/>
              <w:right w:val="none" w:color="FFFFFF" w:sz="0"/>
            </w:tcBorders>
            <w:shd w:fill="EEF3FB" w:val="clear"/>
            <w:tcMar>
              <w:top w:type="dxa" w:w="45"/>
              <w:left w:type="dxa" w:w="90"/>
              <w:bottom w:type="dxa" w:w="4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X-Modal Transformer+GMU</w:t>
            </w:r>
          </w:p>
        </w:tc>
        <w:tc>
          <w:tcPr>
            <w:tcW w:type="dxa" w:w="700"/>
            <w:tcBorders>
              <w:top w:val="none" w:color="FFFFFF" w:sz="0"/>
              <w:left w:val="none" w:color="FFFFFF" w:sz="0"/>
              <w:bottom w:val="single" w:color="000000" w:sz="8"/>
              <w:right w:val="none" w:color="FFFFFF" w:sz="0"/>
            </w:tcBorders>
            <w:shd w:fill="EEF3FB" w:val="clear"/>
            <w:tcMar>
              <w:top w:type="dxa" w:w="45"/>
              <w:left w:type="dxa" w:w="90"/>
              <w:bottom w:type="dxa" w:w="4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96.9%</w:t>
            </w:r>
          </w:p>
        </w:tc>
        <w:tc>
          <w:tcPr>
            <w:tcW w:type="dxa" w:w="650"/>
            <w:tcBorders>
              <w:top w:val="none" w:color="FFFFFF" w:sz="0"/>
              <w:left w:val="none" w:color="FFFFFF" w:sz="0"/>
              <w:bottom w:val="single" w:color="000000" w:sz="8"/>
              <w:right w:val="none" w:color="FFFFFF" w:sz="0"/>
            </w:tcBorders>
            <w:shd w:fill="EEF3FB" w:val="clear"/>
            <w:tcMar>
              <w:top w:type="dxa" w:w="45"/>
              <w:left w:type="dxa" w:w="90"/>
              <w:bottom w:type="dxa" w:w="4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0.999</w:t>
            </w:r>
          </w:p>
        </w:tc>
      </w:tr>
    </w:tbl>
    <w:p>
      <w:pPr>
        <w:spacing w:after="60" w:before="0"/>
      </w:pPr>
    </w:p>
    <w:p>
      <w:pPr>
        <w:pBdr>
          <w:top w:val="single" w:color="000000" w:sz="8" w:space="2"/>
          <w:bottom w:val="single" w:color="000000" w:sz="8" w:space="2"/>
        </w:pBdr>
        <w:spacing w:after="60" w:before="160"/>
        <w:jc w:val="center"/>
      </w:pPr>
      <w:r>
        <w:rPr>
          <w:rFonts w:ascii="Times New Roman" w:cs="Times New Roman" w:eastAsia="Times New Roman" w:hAnsi="Times New Roman"/>
          <w:b/>
          <w:bCs/>
          <w:smallCaps/>
          <w:color w:val="000000"/>
          <w:sz w:val="20"/>
          <w:szCs w:val="20"/>
        </w:rPr>
        <w:t xml:space="preserve">III. Proposed Method</w:t>
      </w:r>
    </w:p>
    <w:p>
      <w:pPr>
        <w:spacing w:after="40" w:before="0" w:line="240" w:lineRule="auto"/>
        <w:jc w:val="both"/>
      </w:pPr>
      <w:r>
        <w:rPr>
          <w:rFonts w:ascii="Times New Roman" w:cs="Times New Roman" w:eastAsia="Times New Roman" w:hAnsi="Times New Roman"/>
          <w:b w:val="false"/>
          <w:bCs w:val="false"/>
          <w:smallCaps w:val="false"/>
          <w:color w:val="000000"/>
          <w:sz w:val="20"/>
          <w:szCs w:val="20"/>
        </w:rPr>
        <w:t xml:space="preserve">The system comprises three hierarchically organised modules (Fig. 1–3), each independently deployable and combinable. Handwriting and speech modules serve dual roles: standalone diagnostic engines and pre-trained encoders for the CMAFN.</w:t>
      </w:r>
    </w:p>
    <w:p>
      <w:pPr>
        <w:spacing w:after="40" w:before="120"/>
        <w:jc w:val="left"/>
      </w:pPr>
      <w:r>
        <w:rPr>
          <w:rFonts w:ascii="Times New Roman" w:cs="Times New Roman" w:eastAsia="Times New Roman" w:hAnsi="Times New Roman"/>
          <w:b/>
          <w:bCs/>
          <w:smallCaps w:val="false"/>
          <w:color w:val="000000"/>
          <w:sz w:val="20"/>
          <w:szCs w:val="20"/>
        </w:rPr>
        <w:t xml:space="preserve">A. Handwriting Analysis Module</w:t>
      </w:r>
    </w:p>
    <w:p>
      <w:pPr>
        <w:spacing w:after="30" w:before="60"/>
        <w:jc w:val="center"/>
      </w:pPr>
      <w:r>
        <w:drawing>
          <wp:inline distT="0" distB="0" distL="0" distR="0">
            <wp:extent cx="2286000" cy="177165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771650"/>
                    </a:xfrm>
                    <a:prstGeom prst="rect">
                      <a:avLst/>
                    </a:prstGeom>
                  </pic:spPr>
                </pic:pic>
              </a:graphicData>
            </a:graphic>
          </wp:inline>
        </w:drawing>
      </w:r>
    </w:p>
    <w:p>
      <w:pPr>
        <w:spacing w:after="100" w:before="30"/>
        <w:jc w:val="center"/>
      </w:pPr>
      <w:r>
        <w:rPr>
          <w:rFonts w:ascii="Times New Roman" w:cs="Times New Roman" w:eastAsia="Times New Roman" w:hAnsi="Times New Roman"/>
          <w:b w:val="false"/>
          <w:bCs w:val="false"/>
          <w:smallCaps w:val="false"/>
          <w:color w:val="000000"/>
          <w:sz w:val="18"/>
          <w:szCs w:val="18"/>
        </w:rPr>
        <w:t xml:space="preserve">Fig. 1. Handwriting Analysis Module: dual-pathway ensemble (Residual MLP + EfficientNet-B0+CBAM) with logistic regression meta-stacking achieving 93.6% accuracy.</w:t>
      </w:r>
    </w:p>
    <w:p>
      <w:pPr>
        <w:spacing w:after="20" w:before="80"/>
        <w:jc w:val="left"/>
      </w:pPr>
      <w:r>
        <w:rPr>
          <w:rFonts w:ascii="Times New Roman" w:cs="Times New Roman" w:eastAsia="Times New Roman" w:hAnsi="Times New Roman"/>
          <w:b w:val="false"/>
          <w:bCs w:val="false"/>
          <w:smallCaps w:val="false"/>
          <w:color w:val="000000"/>
          <w:sz w:val="20"/>
          <w:szCs w:val="20"/>
        </w:rPr>
        <w:t xml:space="preserve">A.1  Feature Extraction — 16 Spatial Biomarkers</w:t>
      </w:r>
    </w:p>
    <w:p>
      <w:pPr>
        <w:spacing w:after="40" w:before="0" w:line="240" w:lineRule="auto"/>
        <w:ind w:firstLine="180"/>
        <w:jc w:val="both"/>
      </w:pPr>
      <w:r>
        <w:rPr>
          <w:rFonts w:ascii="Times New Roman" w:cs="Times New Roman" w:eastAsia="Times New Roman" w:hAnsi="Times New Roman"/>
          <w:b w:val="false"/>
          <w:bCs w:val="false"/>
          <w:smallCaps w:val="false"/>
          <w:color w:val="000000"/>
          <w:sz w:val="20"/>
          <w:szCs w:val="20"/>
        </w:rPr>
        <w:t xml:space="preserve">Grayscale spiral/wave drawings are binarised via Otsu thresholding and analysed by OpenCV morphological processing to extract 16 clinically motivated biomarkers:</w:t>
      </w:r>
    </w:p>
    <w:p>
      <w:pPr>
        <w:pStyle w:val="ListParagraph"/>
        <w:numPr>
          <w:ilvl w:val="0"/>
          <w:numId w:val="2"/>
        </w:numPr>
        <w:spacing w:after="30" w:before="0"/>
        <w:jc w:val="both"/>
      </w:pPr>
      <w:r>
        <w:rPr>
          <w:rFonts w:ascii="Times New Roman" w:cs="Times New Roman" w:eastAsia="Times New Roman" w:hAnsi="Times New Roman"/>
          <w:b w:val="false"/>
          <w:bCs w:val="false"/>
          <w:smallCaps w:val="false"/>
          <w:color w:val="000000"/>
          <w:sz w:val="20"/>
          <w:szCs w:val="20"/>
        </w:rPr>
        <w:t xml:space="preserve">Morphological: stroke_width_mean/std, contour_roughness, n_components, ink_density, solidity.</w:t>
      </w:r>
    </w:p>
    <w:p>
      <w:pPr>
        <w:pStyle w:val="ListParagraph"/>
        <w:numPr>
          <w:ilvl w:val="0"/>
          <w:numId w:val="2"/>
        </w:numPr>
        <w:spacing w:after="30" w:before="0"/>
        <w:jc w:val="both"/>
      </w:pPr>
      <w:r>
        <w:rPr>
          <w:rFonts w:ascii="Times New Roman" w:cs="Times New Roman" w:eastAsia="Times New Roman" w:hAnsi="Times New Roman"/>
          <w:b w:val="false"/>
          <w:bCs w:val="false"/>
          <w:smallCaps w:val="false"/>
          <w:color w:val="000000"/>
          <w:sz w:val="20"/>
          <w:szCs w:val="20"/>
        </w:rPr>
        <w:t xml:space="preserve">Geometric: aspect_ratio, direction_changes, hu_moment_1, hu_moment_2.</w:t>
      </w:r>
    </w:p>
    <w:p>
      <w:pPr>
        <w:pStyle w:val="ListParagraph"/>
        <w:numPr>
          <w:ilvl w:val="0"/>
          <w:numId w:val="2"/>
        </w:numPr>
        <w:spacing w:after="30" w:before="0"/>
        <w:jc w:val="both"/>
      </w:pPr>
      <w:r>
        <w:rPr>
          <w:rFonts w:ascii="Times New Roman" w:cs="Times New Roman" w:eastAsia="Times New Roman" w:hAnsi="Times New Roman"/>
          <w:b w:val="false"/>
          <w:bCs w:val="false"/>
          <w:smallCaps w:val="false"/>
          <w:color w:val="000000"/>
          <w:sz w:val="20"/>
          <w:szCs w:val="20"/>
        </w:rPr>
        <w:t xml:space="preserve">Statistical: intensity_variance, entropy, curvature_mean/std.</w:t>
      </w:r>
    </w:p>
    <w:p>
      <w:pPr>
        <w:pStyle w:val="ListParagraph"/>
        <w:numPr>
          <w:ilvl w:val="0"/>
          <w:numId w:val="2"/>
        </w:numPr>
        <w:spacing w:after="30" w:before="0"/>
        <w:jc w:val="both"/>
      </w:pPr>
      <w:r>
        <w:rPr>
          <w:rFonts w:ascii="Times New Roman" w:cs="Times New Roman" w:eastAsia="Times New Roman" w:hAnsi="Times New Roman"/>
          <w:b w:val="false"/>
          <w:bCs w:val="false"/>
          <w:smallCaps w:val="false"/>
          <w:color w:val="000000"/>
          <w:sz w:val="20"/>
          <w:szCs w:val="20"/>
        </w:rPr>
        <w:t xml:space="preserve">Complexity: fractal_dimension (box-counting), stroke_regularity (FFT periodicity).</w:t>
      </w:r>
    </w:p>
    <w:p>
      <w:pPr>
        <w:spacing w:after="30" w:before="0"/>
      </w:pPr>
    </w:p>
    <w:p>
      <w:pPr>
        <w:spacing w:after="40" w:before="100"/>
        <w:jc w:val="center"/>
      </w:pPr>
      <w:r>
        <w:rPr>
          <w:rFonts w:ascii="Times New Roman" w:cs="Times New Roman" w:eastAsia="Times New Roman" w:hAnsi="Times New Roman"/>
          <w:b/>
          <w:bCs/>
          <w:smallCaps/>
          <w:color w:val="000000"/>
          <w:sz w:val="18"/>
          <w:szCs w:val="18"/>
        </w:rPr>
        <w:t xml:space="preserve">TABLE II — Key Biomarkers and Clinical Relevance</w:t>
      </w:r>
    </w:p>
    <w:tbl>
      <w:tblPr>
        <w:tblW w:type="dxa" w:w="4824"/>
        <w:tblBorders>
          <w:top w:val="none" w:color="FFFFFF" w:sz="0"/>
          <w:left w:val="none" w:color="FFFFFF" w:sz="0"/>
          <w:bottom w:val="none" w:color="FFFFFF" w:sz="0"/>
          <w:right w:val="none" w:color="FFFFFF" w:sz="0"/>
          <w:insideH w:val="single" w:color="auto" w:sz="4"/>
          <w:insideV w:val="single" w:color="auto" w:sz="4"/>
        </w:tblBorders>
      </w:tblPr>
      <w:tblGrid>
        <w:gridCol w:w="2550"/>
        <w:gridCol w:w="2274"/>
      </w:tblGrid>
      <w:tr>
        <w:trPr>
          <w:tblHeader/>
        </w:trPr>
        <w:tc>
          <w:tcPr>
            <w:tcW w:type="dxa" w:w="2550"/>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Feature</w:t>
            </w:r>
          </w:p>
        </w:tc>
        <w:tc>
          <w:tcPr>
            <w:tcW w:type="dxa" w:w="2274"/>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Clinical Relevance</w:t>
            </w:r>
          </w:p>
        </w:tc>
      </w:tr>
      <w:tr>
        <w:tc>
          <w:tcPr>
            <w:tcW w:type="dxa" w:w="255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stroke_width_std</w:t>
            </w:r>
          </w:p>
        </w:tc>
        <w:tc>
          <w:tcPr>
            <w:tcW w:type="dxa" w:w="2274"/>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Tremor → irregular stroke widths</w:t>
            </w:r>
          </w:p>
        </w:tc>
      </w:tr>
      <w:tr>
        <w:tc>
          <w:tcPr>
            <w:tcW w:type="dxa" w:w="255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contour_roughness</w:t>
            </w:r>
          </w:p>
        </w:tc>
        <w:tc>
          <w:tcPr>
            <w:tcW w:type="dxa" w:w="2274"/>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Bradykinesia → rougher contours</w:t>
            </w:r>
          </w:p>
        </w:tc>
      </w:tr>
      <w:tr>
        <w:tc>
          <w:tcPr>
            <w:tcW w:type="dxa" w:w="255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fractal_dimension</w:t>
            </w:r>
          </w:p>
        </w:tc>
        <w:tc>
          <w:tcPr>
            <w:tcW w:type="dxa" w:w="2274"/>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Reduced complexity in PD drawings</w:t>
            </w:r>
          </w:p>
        </w:tc>
      </w:tr>
      <w:tr>
        <w:tc>
          <w:tcPr>
            <w:tcW w:type="dxa" w:w="255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direction_changes</w:t>
            </w:r>
          </w:p>
        </w:tc>
        <w:tc>
          <w:tcPr>
            <w:tcW w:type="dxa" w:w="2274"/>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Tremor → frequent direction shifts</w:t>
            </w:r>
          </w:p>
        </w:tc>
      </w:tr>
      <w:tr>
        <w:tc>
          <w:tcPr>
            <w:tcW w:type="dxa" w:w="255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ink_density</w:t>
            </w:r>
          </w:p>
        </w:tc>
        <w:tc>
          <w:tcPr>
            <w:tcW w:type="dxa" w:w="2274"/>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Micrographia → reduced ink density</w:t>
            </w:r>
          </w:p>
        </w:tc>
      </w:tr>
      <w:tr>
        <w:tc>
          <w:tcPr>
            <w:tcW w:type="dxa" w:w="2550"/>
            <w:tcBorders>
              <w:top w:val="none" w:color="FFFFFF" w:sz="0"/>
              <w:left w:val="none" w:color="FFFFFF" w:sz="0"/>
              <w:bottom w:val="single" w:color="000000" w:sz="8"/>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stroke_regularity</w:t>
            </w:r>
          </w:p>
        </w:tc>
        <w:tc>
          <w:tcPr>
            <w:tcW w:type="dxa" w:w="2274"/>
            <w:tcBorders>
              <w:top w:val="none" w:color="FFFFFF" w:sz="0"/>
              <w:left w:val="none" w:color="FFFFFF" w:sz="0"/>
              <w:bottom w:val="single" w:color="000000" w:sz="8"/>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Rhythmic motor impairment indicator</w:t>
            </w:r>
          </w:p>
        </w:tc>
      </w:tr>
    </w:tbl>
    <w:p>
      <w:pPr>
        <w:spacing w:after="40" w:before="0"/>
      </w:pPr>
    </w:p>
    <w:p>
      <w:pPr>
        <w:spacing w:after="20" w:before="80"/>
        <w:jc w:val="left"/>
      </w:pPr>
      <w:r>
        <w:rPr>
          <w:rFonts w:ascii="Times New Roman" w:cs="Times New Roman" w:eastAsia="Times New Roman" w:hAnsi="Times New Roman"/>
          <w:b w:val="false"/>
          <w:bCs w:val="false"/>
          <w:smallCaps w:val="false"/>
          <w:color w:val="000000"/>
          <w:sz w:val="20"/>
          <w:szCs w:val="20"/>
        </w:rPr>
        <w:t xml:space="preserve">A.2  Dual-Pathway Ensemble</w:t>
      </w:r>
    </w:p>
    <w:p>
      <w:pPr>
        <w:spacing w:after="40" w:before="0" w:line="240"/>
        <w:ind w:firstLine="180"/>
        <w:jc w:val="both"/>
      </w:pPr>
      <w:r>
        <w:rPr>
          <w:rFonts w:ascii="Times New Roman" w:cs="Times New Roman" w:eastAsia="Times New Roman" w:hAnsi="Times New Roman"/>
          <w:b/>
          <w:bCs/>
          <w:smallCaps w:val="false"/>
          <w:color w:val="000000"/>
          <w:sz w:val="20"/>
          <w:szCs w:val="20"/>
        </w:rPr>
        <w:t xml:space="preserve">Path A — Residual MLP:</w:t>
      </w:r>
      <w:r>
        <w:rPr>
          <w:rFonts w:ascii="Times New Roman" w:cs="Times New Roman" w:eastAsia="Times New Roman" w:hAnsi="Times New Roman"/>
          <w:b w:val="false"/>
          <w:bCs w:val="false"/>
          <w:smallCaps w:val="false"/>
          <w:color w:val="000000"/>
          <w:sz w:val="20"/>
          <w:szCs w:val="20"/>
        </w:rPr>
        <w:t xml:space="preserve"> Input(16) → StandardScaler → Linear(16,64) → BN → GELU → Dropout(0.3) → ResidualBlock(64) → Linear(64,32) → Linear(32,1). Achieves 83.98% / AUC 0.916 via 5-fold CV.</w:t>
      </w:r>
    </w:p>
    <w:p>
      <w:pPr>
        <w:spacing w:after="40" w:before="0" w:line="240"/>
        <w:ind w:firstLine="180"/>
        <w:jc w:val="both"/>
      </w:pPr>
      <w:r>
        <w:rPr>
          <w:rFonts w:ascii="Times New Roman" w:cs="Times New Roman" w:eastAsia="Times New Roman" w:hAnsi="Times New Roman"/>
          <w:b/>
          <w:bCs/>
          <w:smallCaps w:val="false"/>
          <w:color w:val="000000"/>
          <w:sz w:val="20"/>
          <w:szCs w:val="20"/>
        </w:rPr>
        <w:t xml:space="preserve">Path B — EfficientNet-B0+CBAM:</w:t>
      </w:r>
      <w:r>
        <w:rPr>
          <w:rFonts w:ascii="Times New Roman" w:cs="Times New Roman" w:eastAsia="Times New Roman" w:hAnsi="Times New Roman"/>
          <w:b w:val="false"/>
          <w:bCs w:val="false"/>
          <w:smallCaps w:val="false"/>
          <w:color w:val="000000"/>
          <w:sz w:val="20"/>
          <w:szCs w:val="20"/>
        </w:rPr>
        <w:t xml:space="preserve"> 224×224×3 input through EfficientNet-B0 (ImageNet, 80% frozen). CBAM applies channel attention (SE on 1280-d maps) then spatial attention (7×7 conv). Achieves 89.64% / AUC 0.964; +7-view TTA: 92.13% / AUC 0.977.</w:t>
      </w:r>
    </w:p>
    <w:p>
      <w:pPr>
        <w:spacing w:after="60" w:before="0" w:line="240"/>
        <w:ind w:firstLine="180"/>
        <w:jc w:val="both"/>
      </w:pPr>
      <w:r>
        <w:rPr>
          <w:rFonts w:ascii="Times New Roman" w:cs="Times New Roman" w:eastAsia="Times New Roman" w:hAnsi="Times New Roman"/>
          <w:b/>
          <w:bCs/>
          <w:smallCaps w:val="false"/>
          <w:color w:val="000000"/>
          <w:sz w:val="20"/>
          <w:szCs w:val="20"/>
        </w:rPr>
        <w:t xml:space="preserve">Meta-Learner:</w:t>
      </w:r>
      <w:r>
        <w:rPr>
          <w:rFonts w:ascii="Times New Roman" w:cs="Times New Roman" w:eastAsia="Times New Roman" w:hAnsi="Times New Roman"/>
          <w:b w:val="false"/>
          <w:bCs w:val="false"/>
          <w:smallCaps w:val="false"/>
          <w:color w:val="000000"/>
          <w:sz w:val="20"/>
          <w:szCs w:val="20"/>
        </w:rPr>
        <w:t xml:space="preserve"> Logistic regression stacking over MLP + CNN + CNN-TTA predictions. Final: 93.57% accuracy, AUC 0.985—a +3.47% improvement over SOTA [6].</w:t>
      </w:r>
    </w:p>
    <w:p>
      <w:pPr>
        <w:spacing w:after="40" w:before="120"/>
        <w:jc w:val="left"/>
      </w:pPr>
      <w:r>
        <w:rPr>
          <w:rFonts w:ascii="Times New Roman" w:cs="Times New Roman" w:eastAsia="Times New Roman" w:hAnsi="Times New Roman"/>
          <w:b/>
          <w:bCs/>
          <w:smallCaps w:val="false"/>
          <w:color w:val="000000"/>
          <w:sz w:val="20"/>
          <w:szCs w:val="20"/>
        </w:rPr>
        <w:t xml:space="preserve">B. Speech Analysis Module</w:t>
      </w:r>
    </w:p>
    <w:p>
      <w:pPr>
        <w:spacing w:after="30" w:before="60"/>
        <w:jc w:val="center"/>
      </w:pPr>
      <w:r>
        <w:drawing>
          <wp:inline distT="0" distB="0" distL="0" distR="0">
            <wp:extent cx="2286000" cy="2066925"/>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2066925"/>
                    </a:xfrm>
                    <a:prstGeom prst="rect">
                      <a:avLst/>
                    </a:prstGeom>
                  </pic:spPr>
                </pic:pic>
              </a:graphicData>
            </a:graphic>
          </wp:inline>
        </w:drawing>
      </w:r>
    </w:p>
    <w:p>
      <w:pPr>
        <w:spacing w:after="100" w:before="30"/>
        <w:jc w:val="center"/>
      </w:pPr>
      <w:r>
        <w:rPr>
          <w:rFonts w:ascii="Times New Roman" w:cs="Times New Roman" w:eastAsia="Times New Roman" w:hAnsi="Times New Roman"/>
          <w:b w:val="false"/>
          <w:bCs w:val="false"/>
          <w:smallCaps w:val="false"/>
          <w:color w:val="000000"/>
          <w:sz w:val="18"/>
          <w:szCs w:val="18"/>
        </w:rPr>
        <w:t xml:space="preserve">Fig. 2. Speech Analysis Module: four feature pathways (XLS-R 300M, Mel-Spec CNN, MFCC, Praat Acoustic) fused via Multi-Head Cross-Attention with DL+ML ensemble stacking achieving 91.7% accuracy.</w:t>
      </w:r>
    </w:p>
    <w:p>
      <w:pPr>
        <w:spacing w:after="20" w:before="80"/>
        <w:jc w:val="left"/>
      </w:pPr>
      <w:r>
        <w:rPr>
          <w:rFonts w:ascii="Times New Roman" w:cs="Times New Roman" w:eastAsia="Times New Roman" w:hAnsi="Times New Roman"/>
          <w:b w:val="false"/>
          <w:bCs w:val="false"/>
          <w:smallCaps w:val="false"/>
          <w:color w:val="000000"/>
          <w:sz w:val="20"/>
          <w:szCs w:val="20"/>
        </w:rPr>
        <w:t xml:space="preserve">B.1  Four-Pathway Deep Learning Model</w:t>
      </w:r>
    </w:p>
    <w:p>
      <w:pPr>
        <w:pStyle w:val="ListParagraph"/>
        <w:numPr>
          <w:ilvl w:val="0"/>
          <w:numId w:val="2"/>
        </w:numPr>
        <w:spacing w:after="30" w:before="0"/>
        <w:jc w:val="both"/>
      </w:pPr>
      <w:r>
        <w:rPr>
          <w:rFonts w:ascii="Times New Roman" w:cs="Times New Roman" w:eastAsia="Times New Roman" w:hAnsi="Times New Roman"/>
          <w:b w:val="false"/>
          <w:bCs w:val="false"/>
          <w:smallCaps w:val="false"/>
          <w:color w:val="000000"/>
          <w:sz w:val="20"/>
          <w:szCs w:val="20"/>
        </w:rPr>
        <w:t xml:space="preserve">XLS-R 300M (315.4M params, 436K hours, 128 languages). Attentive statistical pooling + BiLSTM(128) → 256-d.</w:t>
      </w:r>
    </w:p>
    <w:p>
      <w:pPr>
        <w:pStyle w:val="ListParagraph"/>
        <w:numPr>
          <w:ilvl w:val="0"/>
          <w:numId w:val="2"/>
        </w:numPr>
        <w:spacing w:after="30" w:before="0"/>
        <w:jc w:val="both"/>
      </w:pPr>
      <w:r>
        <w:rPr>
          <w:rFonts w:ascii="Times New Roman" w:cs="Times New Roman" w:eastAsia="Times New Roman" w:hAnsi="Times New Roman"/>
          <w:b w:val="false"/>
          <w:bCs w:val="false"/>
          <w:smallCaps w:val="false"/>
          <w:color w:val="000000"/>
          <w:sz w:val="20"/>
          <w:szCs w:val="20"/>
        </w:rPr>
        <w:t xml:space="preserve">Mel-Spectrogram CNN: 128-bin spectrogram → 3 ConvBlocks (ch: 32→64→128) with residual skip → 512-d.</w:t>
      </w:r>
    </w:p>
    <w:p>
      <w:pPr>
        <w:pStyle w:val="ListParagraph"/>
        <w:numPr>
          <w:ilvl w:val="0"/>
          <w:numId w:val="2"/>
        </w:numPr>
        <w:spacing w:after="30" w:before="0"/>
        <w:jc w:val="both"/>
      </w:pPr>
      <w:r>
        <w:rPr>
          <w:rFonts w:ascii="Times New Roman" w:cs="Times New Roman" w:eastAsia="Times New Roman" w:hAnsi="Times New Roman"/>
          <w:b w:val="false"/>
          <w:bCs w:val="false"/>
          <w:smallCaps w:val="false"/>
          <w:color w:val="000000"/>
          <w:sz w:val="20"/>
          <w:szCs w:val="20"/>
        </w:rPr>
        <w:t xml:space="preserve">MFCC + Δ: 40 MFCCs + delta coefficients, mean+std → 160-d → MLP with skip → 128-d.</w:t>
      </w:r>
    </w:p>
    <w:p>
      <w:pPr>
        <w:pStyle w:val="ListParagraph"/>
        <w:numPr>
          <w:ilvl w:val="0"/>
          <w:numId w:val="2"/>
        </w:numPr>
        <w:spacing w:after="30" w:before="0"/>
        <w:jc w:val="both"/>
      </w:pPr>
      <w:r>
        <w:rPr>
          <w:rFonts w:ascii="Times New Roman" w:cs="Times New Roman" w:eastAsia="Times New Roman" w:hAnsi="Times New Roman"/>
          <w:b w:val="false"/>
          <w:bCs w:val="false"/>
          <w:smallCaps w:val="false"/>
          <w:color w:val="000000"/>
          <w:sz w:val="20"/>
          <w:szCs w:val="20"/>
        </w:rPr>
        <w:t xml:space="preserve">Praat+Librosa Acoustics (39-d): jitter, shimmer, HNR, formants F1–F3, spectral centroid, chroma, tonnetz → MLP → 64-d.</w:t>
      </w:r>
    </w:p>
    <w:p>
      <w:pPr>
        <w:spacing w:after="40" w:before="0" w:line="240" w:lineRule="auto"/>
        <w:ind w:firstLine="180"/>
        <w:jc w:val="both"/>
      </w:pPr>
      <w:r>
        <w:rPr>
          <w:rFonts w:ascii="Times New Roman" w:cs="Times New Roman" w:eastAsia="Times New Roman" w:hAnsi="Times New Roman"/>
          <w:b w:val="false"/>
          <w:bCs w:val="false"/>
          <w:smallCaps w:val="false"/>
          <w:color w:val="000000"/>
          <w:sz w:val="20"/>
          <w:szCs w:val="20"/>
        </w:rPr>
        <w:t xml:space="preserve">Cross-Attention Fusion: Four 256-d projections → Multi-Head Self-Attention (4 heads) → gated softmax → Classifier: Linear(256,256)→BN→GELU→Dropout(0.6)→Linear(256,2).</w:t>
      </w:r>
    </w:p>
    <w:p>
      <w:pPr>
        <w:spacing w:after="20" w:before="80"/>
        <w:jc w:val="left"/>
      </w:pPr>
      <w:r>
        <w:rPr>
          <w:rFonts w:ascii="Times New Roman" w:cs="Times New Roman" w:eastAsia="Times New Roman" w:hAnsi="Times New Roman"/>
          <w:b w:val="false"/>
          <w:bCs w:val="false"/>
          <w:smallCaps w:val="false"/>
          <w:color w:val="000000"/>
          <w:sz w:val="20"/>
          <w:szCs w:val="20"/>
        </w:rPr>
        <w:t xml:space="preserve">B.2  Classical ML Ensemble + Meta-Learner</w:t>
      </w:r>
    </w:p>
    <w:p>
      <w:pPr>
        <w:spacing w:after="40" w:before="0" w:line="240" w:lineRule="auto"/>
        <w:ind w:firstLine="180"/>
        <w:jc w:val="both"/>
      </w:pPr>
      <w:r>
        <w:rPr>
          <w:rFonts w:ascii="Times New Roman" w:cs="Times New Roman" w:eastAsia="Times New Roman" w:hAnsi="Times New Roman"/>
          <w:b w:val="false"/>
          <w:bCs w:val="false"/>
          <w:smallCaps w:val="false"/>
          <w:color w:val="000000"/>
          <w:sz w:val="20"/>
          <w:szCs w:val="20"/>
        </w:rPr>
        <w:t xml:space="preserve">Five-model ensemble (Random Forest, SVM-RBF, Gradient Boosting, XGBoost, LightGBM) trained on PCA-reduced features (2247→512-d, retaining 99.5–99.9% variance) with SMOTE. Ridge-regularised logistic regression (C=0.1) stacks ML+DL probabilities with F1-optimised threshold.</w:t>
      </w:r>
    </w:p>
    <w:p>
      <w:pPr>
        <w:spacing w:after="40" w:before="120"/>
        <w:jc w:val="left"/>
      </w:pPr>
      <w:r>
        <w:rPr>
          <w:rFonts w:ascii="Times New Roman" w:cs="Times New Roman" w:eastAsia="Times New Roman" w:hAnsi="Times New Roman"/>
          <w:b/>
          <w:bCs/>
          <w:smallCaps w:val="false"/>
          <w:color w:val="000000"/>
          <w:sz w:val="20"/>
          <w:szCs w:val="20"/>
        </w:rPr>
        <w:t xml:space="preserve">C. Cross-Modal Attention Fusion Network (CMAFN)</w:t>
      </w:r>
    </w:p>
    <w:p>
      <w:pPr>
        <w:spacing w:after="30" w:before="60"/>
        <w:jc w:val="center"/>
      </w:pPr>
      <w:r>
        <w:drawing>
          <wp:inline distT="0" distB="0" distL="0" distR="0">
            <wp:extent cx="2286000" cy="24003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86000" cy="2400300"/>
                    </a:xfrm>
                    <a:prstGeom prst="rect">
                      <a:avLst/>
                    </a:prstGeom>
                  </pic:spPr>
                </pic:pic>
              </a:graphicData>
            </a:graphic>
          </wp:inline>
        </w:drawing>
      </w:r>
    </w:p>
    <w:p>
      <w:pPr>
        <w:spacing w:after="100" w:before="30"/>
        <w:jc w:val="center"/>
      </w:pPr>
      <w:r>
        <w:rPr>
          <w:rFonts w:ascii="Times New Roman" w:cs="Times New Roman" w:eastAsia="Times New Roman" w:hAnsi="Times New Roman"/>
          <w:b w:val="false"/>
          <w:bCs w:val="false"/>
          <w:smallCaps w:val="false"/>
          <w:color w:val="000000"/>
          <w:sz w:val="18"/>
          <w:szCs w:val="18"/>
        </w:rPr>
        <w:t xml:space="preserve">Fig. 3. CMAFN architecture: EfficientNet-B4+CBAM (HW) and XLS-R 300M (Speech) encoders fused via bidirectional Cross-Modal Transformer attention and Gated Multimodal Unit (GMU). Achieves 96.9% accuracy, AUC 0.999.</w:t>
      </w:r>
    </w:p>
    <w:p>
      <w:pPr>
        <w:spacing w:after="20" w:before="80"/>
        <w:jc w:val="left"/>
      </w:pPr>
      <w:r>
        <w:rPr>
          <w:rFonts w:ascii="Times New Roman" w:cs="Times New Roman" w:eastAsia="Times New Roman" w:hAnsi="Times New Roman"/>
          <w:b w:val="false"/>
          <w:bCs w:val="false"/>
          <w:smallCaps w:val="false"/>
          <w:color w:val="000000"/>
          <w:sz w:val="20"/>
          <w:szCs w:val="20"/>
        </w:rPr>
        <w:t xml:space="preserve">C.1  Encoders</w:t>
      </w:r>
    </w:p>
    <w:p>
      <w:pPr>
        <w:spacing w:after="30" w:before="0" w:line="240"/>
        <w:ind w:firstLine="180"/>
        <w:jc w:val="both"/>
      </w:pPr>
      <w:r>
        <w:rPr>
          <w:rFonts w:ascii="Times New Roman" w:cs="Times New Roman" w:eastAsia="Times New Roman" w:hAnsi="Times New Roman"/>
          <w:b/>
          <w:bCs/>
          <w:smallCaps w:val="false"/>
          <w:color w:val="000000"/>
          <w:sz w:val="20"/>
          <w:szCs w:val="20"/>
        </w:rPr>
        <w:t xml:space="preserve">Handwriting Encoder:</w:t>
      </w:r>
      <w:r>
        <w:rPr>
          <w:rFonts w:ascii="Times New Roman" w:cs="Times New Roman" w:eastAsia="Times New Roman" w:hAnsi="Times New Roman"/>
          <w:b w:val="false"/>
          <w:bCs w:val="false"/>
          <w:smallCaps w:val="false"/>
          <w:color w:val="000000"/>
          <w:sz w:val="20"/>
          <w:szCs w:val="20"/>
        </w:rPr>
        <w:t xml:space="preserve"> EfficientNet-B4 + CBAM + Spatial Pyramid Pooling [1×1, 2×2, 4×4] → Linear(SPP,512)→BN→ReLU → 512-d. Pre-trained on PD handwriting task.</w:t>
      </w:r>
    </w:p>
    <w:p>
      <w:pPr>
        <w:spacing w:after="40" w:before="0" w:line="240"/>
        <w:ind w:firstLine="180"/>
        <w:jc w:val="both"/>
      </w:pPr>
      <w:r>
        <w:rPr>
          <w:rFonts w:ascii="Times New Roman" w:cs="Times New Roman" w:eastAsia="Times New Roman" w:hAnsi="Times New Roman"/>
          <w:b/>
          <w:bCs/>
          <w:smallCaps w:val="false"/>
          <w:color w:val="000000"/>
          <w:sz w:val="20"/>
          <w:szCs w:val="20"/>
        </w:rPr>
        <w:t xml:space="preserve">Audio Encoder:</w:t>
      </w:r>
      <w:r>
        <w:rPr>
          <w:rFonts w:ascii="Times New Roman" w:cs="Times New Roman" w:eastAsia="Times New Roman" w:hAnsi="Times New Roman"/>
          <w:b w:val="false"/>
          <w:bCs w:val="false"/>
          <w:smallCaps w:val="false"/>
          <w:color w:val="000000"/>
          <w:sz w:val="20"/>
          <w:szCs w:val="20"/>
        </w:rPr>
        <w:t xml:space="preserve"> Four-path fusion → SE attention (960-d) → Linear(960,512)→BN→ReLU → 512-d. Pre-trained on PD speech task.</w:t>
      </w:r>
    </w:p>
    <w:p>
      <w:pPr>
        <w:spacing w:after="20" w:before="80"/>
        <w:jc w:val="left"/>
      </w:pPr>
      <w:r>
        <w:rPr>
          <w:rFonts w:ascii="Times New Roman" w:cs="Times New Roman" w:eastAsia="Times New Roman" w:hAnsi="Times New Roman"/>
          <w:b w:val="false"/>
          <w:bCs w:val="false"/>
          <w:smallCaps w:val="false"/>
          <w:color w:val="000000"/>
          <w:sz w:val="20"/>
          <w:szCs w:val="20"/>
        </w:rPr>
        <w:t xml:space="preserve">C.2  Bidirectional Cross-Modal Transformer</w:t>
      </w:r>
    </w:p>
    <w:p>
      <w:pPr>
        <w:spacing w:after="40" w:before="0" w:line="240" w:lineRule="auto"/>
        <w:ind w:firstLine="180"/>
        <w:jc w:val="both"/>
      </w:pPr>
      <w:r>
        <w:rPr>
          <w:rFonts w:ascii="Times New Roman" w:cs="Times New Roman" w:eastAsia="Times New Roman" w:hAnsi="Times New Roman"/>
          <w:b w:val="false"/>
          <w:bCs w:val="false"/>
          <w:smallCaps w:val="false"/>
          <w:color w:val="000000"/>
          <w:sz w:val="20"/>
          <w:szCs w:val="20"/>
        </w:rPr>
        <w:t xml:space="preserve">Both 512-d encodings are projected to 256-d with learnable modality-type embeddings. Two CrossModalTransformerLayers perform:</w:t>
      </w:r>
    </w:p>
    <w:p>
      <w:pPr>
        <w:pStyle w:val="ListParagraph"/>
        <w:numPr>
          <w:ilvl w:val="0"/>
          <w:numId w:val="2"/>
        </w:numPr>
        <w:spacing w:after="30" w:before="0"/>
        <w:jc w:val="both"/>
      </w:pPr>
      <w:r>
        <w:rPr>
          <w:rFonts w:ascii="Times New Roman" w:cs="Times New Roman" w:eastAsia="Times New Roman" w:hAnsi="Times New Roman"/>
          <w:b w:val="false"/>
          <w:bCs w:val="false"/>
          <w:smallCaps w:val="false"/>
          <w:color w:val="000000"/>
          <w:sz w:val="20"/>
          <w:szCs w:val="20"/>
        </w:rPr>
        <w:t xml:space="preserve">HW-Cross-Attn: Q=HW, K=V=Audio → LayerNorm → FFN → LayerNorm.</w:t>
      </w:r>
    </w:p>
    <w:p>
      <w:pPr>
        <w:pStyle w:val="ListParagraph"/>
        <w:numPr>
          <w:ilvl w:val="0"/>
          <w:numId w:val="2"/>
        </w:numPr>
        <w:spacing w:after="30" w:before="0"/>
        <w:jc w:val="both"/>
      </w:pPr>
      <w:r>
        <w:rPr>
          <w:rFonts w:ascii="Times New Roman" w:cs="Times New Roman" w:eastAsia="Times New Roman" w:hAnsi="Times New Roman"/>
          <w:b w:val="false"/>
          <w:bCs w:val="false"/>
          <w:smallCaps w:val="false"/>
          <w:color w:val="000000"/>
          <w:sz w:val="20"/>
          <w:szCs w:val="20"/>
        </w:rPr>
        <w:t xml:space="preserve">Audio-Cross-Attn: Q=Audio, K=V=HW → LayerNorm → FFN → LayerNorm.</w:t>
      </w:r>
    </w:p>
    <w:p>
      <w:pPr>
        <w:spacing w:after="40" w:before="0" w:line="240" w:lineRule="auto"/>
        <w:ind w:firstLine="180"/>
        <w:jc w:val="both"/>
      </w:pPr>
      <w:r>
        <w:rPr>
          <w:rFonts w:ascii="Times New Roman" w:cs="Times New Roman" w:eastAsia="Times New Roman" w:hAnsi="Times New Roman"/>
          <w:b w:val="false"/>
          <w:bCs w:val="false"/>
          <w:smallCaps w:val="false"/>
          <w:color w:val="000000"/>
          <w:sz w:val="20"/>
          <w:szCs w:val="20"/>
        </w:rPr>
        <w:t xml:space="preserve">This bidirectional mechanism learns which micrographia patterns correlate with specific speech degradation signatures—the core innovation enabling the 9.4% gain over HW-only.</w:t>
      </w:r>
    </w:p>
    <w:p>
      <w:pPr>
        <w:spacing w:after="20" w:before="80"/>
        <w:jc w:val="left"/>
      </w:pPr>
      <w:r>
        <w:rPr>
          <w:rFonts w:ascii="Times New Roman" w:cs="Times New Roman" w:eastAsia="Times New Roman" w:hAnsi="Times New Roman"/>
          <w:b w:val="false"/>
          <w:bCs w:val="false"/>
          <w:smallCaps w:val="false"/>
          <w:color w:val="000000"/>
          <w:sz w:val="20"/>
          <w:szCs w:val="20"/>
        </w:rPr>
        <w:t xml:space="preserve">C.3  Gated Multimodal Unit (GMU) + Classifier</w:t>
      </w:r>
    </w:p>
    <w:p>
      <w:pPr>
        <w:spacing w:after="40" w:before="0" w:line="240" w:lineRule="auto"/>
        <w:ind w:firstLine="180"/>
        <w:jc w:val="both"/>
      </w:pPr>
      <w:r>
        <w:rPr>
          <w:rFonts w:ascii="Times New Roman" w:cs="Times New Roman" w:eastAsia="Times New Roman" w:hAnsi="Times New Roman"/>
          <w:b w:val="false"/>
          <w:bCs w:val="false"/>
          <w:smallCaps w:val="false"/>
          <w:color w:val="000000"/>
          <w:sz w:val="20"/>
          <w:szCs w:val="20"/>
        </w:rPr>
        <w:t xml:space="preserve">h_hw = tanh(W_hw·x_hw),  h_aud = tanh(W_aud·x_aud),  z = σ(W_z·[x_hw; x_aud]),  output = z⊙h_hw + (1−z)⊙h_aud → 128-d.  Concat [HW_att ‖ Aud_att ‖ GMU] = 640-d → 640→256→128→2.</w:t>
      </w:r>
    </w:p>
    <w:p>
      <w:pPr>
        <w:spacing w:after="20" w:before="80"/>
        <w:jc w:val="left"/>
      </w:pPr>
      <w:r>
        <w:rPr>
          <w:rFonts w:ascii="Times New Roman" w:cs="Times New Roman" w:eastAsia="Times New Roman" w:hAnsi="Times New Roman"/>
          <w:b w:val="false"/>
          <w:bCs w:val="false"/>
          <w:smallCaps w:val="false"/>
          <w:color w:val="000000"/>
          <w:sz w:val="20"/>
          <w:szCs w:val="20"/>
        </w:rPr>
        <w:t xml:space="preserve">C.4  Robustness Design</w:t>
      </w:r>
    </w:p>
    <w:p>
      <w:pPr>
        <w:pStyle w:val="ListParagraph"/>
        <w:numPr>
          <w:ilvl w:val="0"/>
          <w:numId w:val="2"/>
        </w:numPr>
        <w:spacing w:after="30" w:before="0"/>
        <w:jc w:val="both"/>
      </w:pPr>
      <w:r>
        <w:rPr>
          <w:rFonts w:ascii="Times New Roman" w:cs="Times New Roman" w:eastAsia="Times New Roman" w:hAnsi="Times New Roman"/>
          <w:b w:val="false"/>
          <w:bCs w:val="false"/>
          <w:smallCaps w:val="false"/>
          <w:color w:val="000000"/>
          <w:sz w:val="20"/>
          <w:szCs w:val="20"/>
        </w:rPr>
        <w:t xml:space="preserve">Modality Dropout (25%): one modality randomly dropped during training; learnable fallback tokens substituted.</w:t>
      </w:r>
    </w:p>
    <w:p>
      <w:pPr>
        <w:pStyle w:val="ListParagraph"/>
        <w:numPr>
          <w:ilvl w:val="0"/>
          <w:numId w:val="2"/>
        </w:numPr>
        <w:spacing w:after="30" w:before="0"/>
        <w:jc w:val="both"/>
      </w:pPr>
      <w:r>
        <w:rPr>
          <w:rFonts w:ascii="Times New Roman" w:cs="Times New Roman" w:eastAsia="Times New Roman" w:hAnsi="Times New Roman"/>
          <w:b w:val="false"/>
          <w:bCs w:val="false"/>
          <w:smallCaps w:val="false"/>
          <w:color w:val="000000"/>
          <w:sz w:val="20"/>
          <w:szCs w:val="20"/>
        </w:rPr>
        <w:t xml:space="preserve">Auxiliary Heads: separate HW-only and Audio-only heads for regularisation.</w:t>
      </w:r>
    </w:p>
    <w:p>
      <w:pPr>
        <w:pStyle w:val="ListParagraph"/>
        <w:numPr>
          <w:ilvl w:val="0"/>
          <w:numId w:val="2"/>
        </w:numPr>
        <w:spacing w:after="30" w:before="0"/>
        <w:jc w:val="both"/>
      </w:pPr>
      <w:r>
        <w:rPr>
          <w:rFonts w:ascii="Times New Roman" w:cs="Times New Roman" w:eastAsia="Times New Roman" w:hAnsi="Times New Roman"/>
          <w:b w:val="false"/>
          <w:bCs w:val="false"/>
          <w:smallCaps w:val="false"/>
          <w:color w:val="000000"/>
          <w:sz w:val="20"/>
          <w:szCs w:val="20"/>
        </w:rPr>
        <w:t xml:space="preserve">MC Dropout: 10-sample Monte Carlo dropout at inference; mean uncertainty 0.061.</w:t>
      </w:r>
    </w:p>
    <w:p>
      <w:pPr>
        <w:spacing w:after="40" w:before="0"/>
      </w:pPr>
    </w:p>
    <w:p>
      <w:pPr>
        <w:pBdr>
          <w:top w:val="single" w:color="000000" w:sz="8" w:space="2"/>
          <w:bottom w:val="single" w:color="000000" w:sz="8" w:space="2"/>
        </w:pBdr>
        <w:spacing w:after="60" w:before="160"/>
        <w:jc w:val="center"/>
      </w:pPr>
      <w:r>
        <w:rPr>
          <w:rFonts w:ascii="Times New Roman" w:cs="Times New Roman" w:eastAsia="Times New Roman" w:hAnsi="Times New Roman"/>
          <w:b/>
          <w:bCs/>
          <w:smallCaps/>
          <w:color w:val="000000"/>
          <w:sz w:val="20"/>
          <w:szCs w:val="20"/>
        </w:rPr>
        <w:t xml:space="preserve">IV. Experimental Setup</w:t>
      </w:r>
    </w:p>
    <w:p>
      <w:pPr>
        <w:spacing w:after="40" w:before="120"/>
        <w:jc w:val="left"/>
      </w:pPr>
      <w:r>
        <w:rPr>
          <w:rFonts w:ascii="Times New Roman" w:cs="Times New Roman" w:eastAsia="Times New Roman" w:hAnsi="Times New Roman"/>
          <w:b/>
          <w:bCs/>
          <w:smallCaps w:val="false"/>
          <w:color w:val="000000"/>
          <w:sz w:val="20"/>
          <w:szCs w:val="20"/>
        </w:rPr>
        <w:t xml:space="preserve">A. Datasets</w:t>
      </w:r>
    </w:p>
    <w:p>
      <w:pPr>
        <w:spacing w:after="40" w:before="0" w:line="240"/>
        <w:ind w:firstLine="180"/>
        <w:jc w:val="both"/>
      </w:pPr>
      <w:r>
        <w:rPr>
          <w:rFonts w:ascii="Times New Roman" w:cs="Times New Roman" w:eastAsia="Times New Roman" w:hAnsi="Times New Roman"/>
          <w:b/>
          <w:bCs/>
          <w:smallCaps w:val="false"/>
          <w:color w:val="000000"/>
          <w:sz w:val="20"/>
          <w:szCs w:val="20"/>
        </w:rPr>
        <w:t xml:space="preserve">Handwriting Dataset:</w:t>
      </w:r>
      <w:r>
        <w:rPr>
          <w:rFonts w:ascii="Times New Roman" w:cs="Times New Roman" w:eastAsia="Times New Roman" w:hAnsi="Times New Roman"/>
          <w:b w:val="false"/>
          <w:bCs w:val="false"/>
          <w:smallCaps w:val="false"/>
          <w:color w:val="000000"/>
          <w:sz w:val="20"/>
          <w:szCs w:val="20"/>
        </w:rPr>
        <w:t xml:space="preserve"> 3,264 spiral and wave drawings (1,632 HC, 1,632 PD) from 65 subjects (28 PD, 22 elderly HC, 15 young HC). Resized to 224×224 (standalone) or 336×336 (CMAFN).</w:t>
      </w:r>
    </w:p>
    <w:p>
      <w:pPr>
        <w:spacing w:after="60" w:before="0" w:line="240"/>
        <w:ind w:firstLine="180"/>
        <w:jc w:val="both"/>
      </w:pPr>
      <w:r>
        <w:rPr>
          <w:rFonts w:ascii="Times New Roman" w:cs="Times New Roman" w:eastAsia="Times New Roman" w:hAnsi="Times New Roman"/>
          <w:b/>
          <w:bCs/>
          <w:smallCaps w:val="false"/>
          <w:color w:val="000000"/>
          <w:sz w:val="20"/>
          <w:szCs w:val="20"/>
        </w:rPr>
        <w:t xml:space="preserve">Speech Dataset</w:t>
      </w:r>
      <w:r>
        <w:rPr>
          <w:rFonts w:ascii="Times New Roman" w:cs="Times New Roman" w:eastAsia="Times New Roman" w:hAnsi="Times New Roman"/>
          <w:b w:val="false"/>
          <w:bCs w:val="false"/>
          <w:smallCaps w:val="false"/>
          <w:color w:val="000000"/>
          <w:sz w:val="20"/>
          <w:szCs w:val="20"/>
        </w:rPr>
        <w:t xml:space="preserve"> (Italian Parkinson's Voice and Speech, IEEE DataPort): 831 recordings from 61 patients (24 PD, 37 HC). Tasks: sustained vowels, diadochokinesis, balanced sentences, prose reading, free speech. All at 16 kHz, ≤8 s. Patient-level group 5-fold stratified CV—no speaker in both train and test.</w:t>
      </w:r>
    </w:p>
    <w:p>
      <w:pPr>
        <w:spacing w:after="40" w:before="120"/>
        <w:jc w:val="left"/>
      </w:pPr>
      <w:r>
        <w:rPr>
          <w:rFonts w:ascii="Times New Roman" w:cs="Times New Roman" w:eastAsia="Times New Roman" w:hAnsi="Times New Roman"/>
          <w:b/>
          <w:bCs/>
          <w:smallCaps w:val="false"/>
          <w:color w:val="000000"/>
          <w:sz w:val="20"/>
          <w:szCs w:val="20"/>
        </w:rPr>
        <w:t xml:space="preserve">B. Training Configuration</w:t>
      </w:r>
    </w:p>
    <w:p>
      <w:pPr>
        <w:spacing w:after="40" w:before="0" w:line="240" w:lineRule="auto"/>
        <w:ind w:firstLine="180"/>
        <w:jc w:val="both"/>
      </w:pPr>
      <w:r>
        <w:rPr>
          <w:rFonts w:ascii="Times New Roman" w:cs="Times New Roman" w:eastAsia="Times New Roman" w:hAnsi="Times New Roman"/>
          <w:b w:val="false"/>
          <w:bCs w:val="false"/>
          <w:smallCaps w:val="false"/>
          <w:color w:val="000000"/>
          <w:sz w:val="20"/>
          <w:szCs w:val="20"/>
        </w:rPr>
        <w:t xml:space="preserve">AdamW (lr = 3×10⁻⁵–5×10⁻⁵, weight decay = 0.08). Focal loss (α=0.5–0.75, γ=2–3) + label smoothing (ε=0.2). OneCycleLR scheduler. Gradient clipping (max norm=1.0). Batch size 32 via 2× gradient accumulation. Early stopping (patience=10).</w:t>
      </w:r>
    </w:p>
    <w:p>
      <w:pPr>
        <w:spacing w:after="40" w:before="0" w:line="240" w:lineRule="auto"/>
        <w:ind w:firstLine="180"/>
        <w:jc w:val="both"/>
      </w:pPr>
      <w:r>
        <w:rPr>
          <w:rFonts w:ascii="Times New Roman" w:cs="Times New Roman" w:eastAsia="Times New Roman" w:hAnsi="Times New Roman"/>
          <w:b w:val="false"/>
          <w:bCs w:val="false"/>
          <w:smallCaps w:val="false"/>
          <w:color w:val="000000"/>
          <w:sz w:val="20"/>
          <w:szCs w:val="20"/>
        </w:rPr>
        <w:t xml:space="preserve">Augmentation — HW: flip, ±10° rotation, brightness jitter, mixup. Speech: SpecAugment, VTLP, 5× TTA.</w:t>
      </w:r>
    </w:p>
    <w:p>
      <w:pPr>
        <w:spacing w:after="40" w:before="120"/>
        <w:jc w:val="left"/>
      </w:pPr>
      <w:r>
        <w:rPr>
          <w:rFonts w:ascii="Times New Roman" w:cs="Times New Roman" w:eastAsia="Times New Roman" w:hAnsi="Times New Roman"/>
          <w:b/>
          <w:bCs/>
          <w:smallCaps w:val="false"/>
          <w:color w:val="000000"/>
          <w:sz w:val="20"/>
          <w:szCs w:val="20"/>
        </w:rPr>
        <w:t xml:space="preserve">C. Computational Profile</w:t>
      </w:r>
    </w:p>
    <w:p>
      <w:pPr>
        <w:spacing w:after="40" w:before="0" w:line="240" w:lineRule="auto"/>
        <w:ind w:firstLine="180"/>
        <w:jc w:val="both"/>
      </w:pPr>
      <w:r>
        <w:rPr>
          <w:rFonts w:ascii="Times New Roman" w:cs="Times New Roman" w:eastAsia="Times New Roman" w:hAnsi="Times New Roman"/>
          <w:b w:val="false"/>
          <w:bCs w:val="false"/>
          <w:smallCaps w:val="false"/>
          <w:color w:val="000000"/>
          <w:sz w:val="20"/>
          <w:szCs w:val="20"/>
        </w:rPr>
        <w:t xml:space="preserve">HW 12.5 MB, Speech 147 MB (XLS-R) + 5 MB aux, CMAFN 25 MB. ~190 MB total / ~85 MB INT8-quantised. CPU inference: HW ~100 ms, Speech ~1,500 ms, Fusion ~50 ms. Peak RAM ~500 MB.</w:t>
      </w:r>
    </w:p>
    <w:p>
      <w:pPr>
        <w:spacing w:after="40" w:before="0"/>
      </w:pPr>
    </w:p>
    <w:p>
      <w:pPr>
        <w:pBdr>
          <w:top w:val="single" w:color="000000" w:sz="8" w:space="2"/>
          <w:bottom w:val="single" w:color="000000" w:sz="8" w:space="2"/>
        </w:pBdr>
        <w:spacing w:after="60" w:before="160"/>
        <w:jc w:val="center"/>
      </w:pPr>
      <w:r>
        <w:rPr>
          <w:rFonts w:ascii="Times New Roman" w:cs="Times New Roman" w:eastAsia="Times New Roman" w:hAnsi="Times New Roman"/>
          <w:b/>
          <w:bCs/>
          <w:smallCaps/>
          <w:color w:val="000000"/>
          <w:sz w:val="20"/>
          <w:szCs w:val="20"/>
        </w:rPr>
        <w:t xml:space="preserve">V. Results and Discussion</w:t>
      </w:r>
    </w:p>
    <w:p>
      <w:pPr>
        <w:spacing w:after="40" w:before="120"/>
        <w:jc w:val="left"/>
      </w:pPr>
      <w:r>
        <w:rPr>
          <w:rFonts w:ascii="Times New Roman" w:cs="Times New Roman" w:eastAsia="Times New Roman" w:hAnsi="Times New Roman"/>
          <w:b/>
          <w:bCs/>
          <w:smallCaps w:val="false"/>
          <w:color w:val="000000"/>
          <w:sz w:val="20"/>
          <w:szCs w:val="20"/>
        </w:rPr>
        <w:t xml:space="preserve">A. Handwriting Module</w:t>
      </w:r>
    </w:p>
    <w:p>
      <w:pPr>
        <w:spacing w:after="40" w:before="0" w:line="240" w:lineRule="auto"/>
        <w:jc w:val="both"/>
      </w:pPr>
      <w:r>
        <w:rPr>
          <w:rFonts w:ascii="Times New Roman" w:cs="Times New Roman" w:eastAsia="Times New Roman" w:hAnsi="Times New Roman"/>
          <w:b w:val="false"/>
          <w:bCs w:val="false"/>
          <w:smallCaps w:val="false"/>
          <w:color w:val="000000"/>
          <w:sz w:val="20"/>
          <w:szCs w:val="20"/>
        </w:rPr>
        <w:t xml:space="preserve">The stacking ensemble achieves 93.57% accuracy and AUC 0.985—a +3.47% improvement over Li et al. [6].</w:t>
      </w:r>
    </w:p>
    <w:p>
      <w:pPr>
        <w:spacing w:after="30" w:before="0"/>
      </w:pPr>
    </w:p>
    <w:p>
      <w:pPr>
        <w:spacing w:after="40" w:before="100"/>
        <w:jc w:val="center"/>
      </w:pPr>
      <w:r>
        <w:rPr>
          <w:rFonts w:ascii="Times New Roman" w:cs="Times New Roman" w:eastAsia="Times New Roman" w:hAnsi="Times New Roman"/>
          <w:b/>
          <w:bCs/>
          <w:smallCaps/>
          <w:color w:val="000000"/>
          <w:sz w:val="18"/>
          <w:szCs w:val="18"/>
        </w:rPr>
        <w:t xml:space="preserve">TABLE III — Handwriting Module Performance</w:t>
      </w:r>
    </w:p>
    <w:tbl>
      <w:tblPr>
        <w:tblW w:type="dxa" w:w="5824"/>
        <w:tblBorders>
          <w:top w:val="none" w:color="FFFFFF" w:sz="0"/>
          <w:left w:val="none" w:color="FFFFFF" w:sz="0"/>
          <w:bottom w:val="none" w:color="FFFFFF" w:sz="0"/>
          <w:right w:val="none" w:color="FFFFFF" w:sz="0"/>
          <w:insideH w:val="single" w:color="auto" w:sz="4"/>
          <w:insideV w:val="single" w:color="auto" w:sz="4"/>
        </w:tblBorders>
      </w:tblPr>
      <w:tblGrid>
        <w:gridCol w:w="3100"/>
        <w:gridCol w:w="1312"/>
        <w:gridCol w:w="1412"/>
      </w:tblGrid>
      <w:tr>
        <w:trPr>
          <w:tblHeader/>
        </w:trPr>
        <w:tc>
          <w:tcPr>
            <w:tcW w:type="dxa" w:w="3100"/>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Model</w:t>
            </w:r>
          </w:p>
        </w:tc>
        <w:tc>
          <w:tcPr>
            <w:tcW w:type="dxa" w:w="1312"/>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Accuracy</w:t>
            </w:r>
          </w:p>
        </w:tc>
        <w:tc>
          <w:tcPr>
            <w:tcW w:type="dxa" w:w="1412"/>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AUC-ROC</w:t>
            </w:r>
          </w:p>
        </w:tc>
      </w:tr>
      <w:tr>
        <w:tc>
          <w:tcPr>
            <w:tcW w:type="dxa" w:w="31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Residual MLP (5-fold)</w:t>
            </w:r>
          </w:p>
        </w:tc>
        <w:tc>
          <w:tcPr>
            <w:tcW w:type="dxa" w:w="13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83.98%</w:t>
            </w:r>
          </w:p>
        </w:tc>
        <w:tc>
          <w:tcPr>
            <w:tcW w:type="dxa" w:w="14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0.916</w:t>
            </w:r>
          </w:p>
        </w:tc>
      </w:tr>
      <w:tr>
        <w:tc>
          <w:tcPr>
            <w:tcW w:type="dxa" w:w="31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EfficientNet-B0+CBAM (5-fold)</w:t>
            </w:r>
          </w:p>
        </w:tc>
        <w:tc>
          <w:tcPr>
            <w:tcW w:type="dxa" w:w="13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89.64%</w:t>
            </w:r>
          </w:p>
        </w:tc>
        <w:tc>
          <w:tcPr>
            <w:tcW w:type="dxa" w:w="14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0.964</w:t>
            </w:r>
          </w:p>
        </w:tc>
      </w:tr>
      <w:tr>
        <w:tc>
          <w:tcPr>
            <w:tcW w:type="dxa" w:w="31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EfficientNet+TTA</w:t>
            </w:r>
          </w:p>
        </w:tc>
        <w:tc>
          <w:tcPr>
            <w:tcW w:type="dxa" w:w="13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92.13%</w:t>
            </w:r>
          </w:p>
        </w:tc>
        <w:tc>
          <w:tcPr>
            <w:tcW w:type="dxa" w:w="14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0.977</w:t>
            </w:r>
          </w:p>
        </w:tc>
      </w:tr>
      <w:tr>
        <w:tc>
          <w:tcPr>
            <w:tcW w:type="dxa" w:w="3100"/>
            <w:tcBorders>
              <w:top w:val="none" w:color="FFFFFF" w:sz="0"/>
              <w:left w:val="none" w:color="FFFFFF" w:sz="0"/>
              <w:bottom w:val="single" w:color="000000" w:sz="8"/>
              <w:right w:val="none" w:color="FFFFFF" w:sz="0"/>
            </w:tcBorders>
            <w:shd w:fill="EEF3FB" w:val="clear"/>
            <w:tcMar>
              <w:top w:type="dxa" w:w="45"/>
              <w:left w:type="dxa" w:w="90"/>
              <w:bottom w:type="dxa" w:w="45"/>
              <w:right w:type="dxa" w:w="90"/>
            </w:tcMar>
          </w:tcPr>
          <w:p>
            <w:pPr>
              <w:spacing w:after="0" w:before="0"/>
              <w:jc w:val="left"/>
            </w:pPr>
            <w:r>
              <w:rPr>
                <w:rFonts w:ascii="Times New Roman" w:cs="Times New Roman" w:eastAsia="Times New Roman" w:hAnsi="Times New Roman"/>
                <w:b/>
                <w:bCs/>
                <w:smallCaps w:val="false"/>
                <w:color w:val="000000"/>
                <w:sz w:val="18"/>
                <w:szCs w:val="18"/>
              </w:rPr>
              <w:t xml:space="preserve">Stacking Ensemble (Ours)</w:t>
            </w:r>
          </w:p>
        </w:tc>
        <w:tc>
          <w:tcPr>
            <w:tcW w:type="dxa" w:w="1312"/>
            <w:tcBorders>
              <w:top w:val="none" w:color="FFFFFF" w:sz="0"/>
              <w:left w:val="none" w:color="FFFFFF" w:sz="0"/>
              <w:bottom w:val="single" w:color="000000" w:sz="8"/>
              <w:right w:val="none" w:color="FFFFFF" w:sz="0"/>
            </w:tcBorders>
            <w:shd w:fill="EEF3FB" w:val="clear"/>
            <w:tcMar>
              <w:top w:type="dxa" w:w="45"/>
              <w:left w:type="dxa" w:w="90"/>
              <w:bottom w:type="dxa" w:w="4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93.57%</w:t>
            </w:r>
          </w:p>
        </w:tc>
        <w:tc>
          <w:tcPr>
            <w:tcW w:type="dxa" w:w="1412"/>
            <w:tcBorders>
              <w:top w:val="none" w:color="FFFFFF" w:sz="0"/>
              <w:left w:val="none" w:color="FFFFFF" w:sz="0"/>
              <w:bottom w:val="single" w:color="000000" w:sz="8"/>
              <w:right w:val="none" w:color="FFFFFF" w:sz="0"/>
            </w:tcBorders>
            <w:shd w:fill="EEF3FB" w:val="clear"/>
            <w:tcMar>
              <w:top w:type="dxa" w:w="45"/>
              <w:left w:type="dxa" w:w="90"/>
              <w:bottom w:type="dxa" w:w="4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0.985</w:t>
            </w:r>
          </w:p>
        </w:tc>
      </w:tr>
    </w:tbl>
    <w:p>
      <w:pPr>
        <w:spacing w:after="60" w:before="0"/>
      </w:pPr>
    </w:p>
    <w:p>
      <w:pPr>
        <w:spacing w:after="30" w:before="60"/>
        <w:jc w:val="center"/>
      </w:pPr>
      <w:r>
        <w:drawing>
          <wp:inline distT="0" distB="0" distL="0" distR="0">
            <wp:extent cx="2286000" cy="809625"/>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809625"/>
                    </a:xfrm>
                    <a:prstGeom prst="rect">
                      <a:avLst/>
                    </a:prstGeom>
                  </pic:spPr>
                </pic:pic>
              </a:graphicData>
            </a:graphic>
          </wp:inline>
        </w:drawing>
      </w:r>
    </w:p>
    <w:p>
      <w:pPr>
        <w:spacing w:after="100" w:before="30"/>
        <w:jc w:val="center"/>
      </w:pPr>
      <w:r>
        <w:rPr>
          <w:rFonts w:ascii="Times New Roman" w:cs="Times New Roman" w:eastAsia="Times New Roman" w:hAnsi="Times New Roman"/>
          <w:b w:val="false"/>
          <w:bCs w:val="false"/>
          <w:smallCaps w:val="false"/>
          <w:color w:val="000000"/>
          <w:sz w:val="18"/>
          <w:szCs w:val="18"/>
        </w:rPr>
        <w:t xml:space="preserve">Fig. 4. Handwriting confusion matrix across 5-fold CV (PD vs. HC).</w:t>
      </w:r>
    </w:p>
    <w:p>
      <w:pPr>
        <w:spacing w:after="30" w:before="60"/>
        <w:jc w:val="center"/>
      </w:pPr>
      <w:r>
        <w:drawing>
          <wp:inline distT="0" distB="0" distL="0" distR="0">
            <wp:extent cx="2286000" cy="8001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86000" cy="800100"/>
                    </a:xfrm>
                    <a:prstGeom prst="rect">
                      <a:avLst/>
                    </a:prstGeom>
                  </pic:spPr>
                </pic:pic>
              </a:graphicData>
            </a:graphic>
          </wp:inline>
        </w:drawing>
      </w:r>
    </w:p>
    <w:p>
      <w:pPr>
        <w:spacing w:after="100" w:before="30"/>
        <w:jc w:val="center"/>
      </w:pPr>
      <w:r>
        <w:rPr>
          <w:rFonts w:ascii="Times New Roman" w:cs="Times New Roman" w:eastAsia="Times New Roman" w:hAnsi="Times New Roman"/>
          <w:b w:val="false"/>
          <w:bCs w:val="false"/>
          <w:smallCaps w:val="false"/>
          <w:color w:val="000000"/>
          <w:sz w:val="18"/>
          <w:szCs w:val="18"/>
        </w:rPr>
        <w:t xml:space="preserve">Fig. 5. ROC curves: MLP vs. EfficientNet-B0+CBAM vs. Stacking Ensemble.</w:t>
      </w:r>
    </w:p>
    <w:p>
      <w:pPr>
        <w:spacing w:after="30" w:before="60"/>
        <w:jc w:val="center"/>
      </w:pPr>
      <w:r>
        <w:drawing>
          <wp:inline distT="0" distB="0" distL="0" distR="0">
            <wp:extent cx="2286000" cy="16383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86000" cy="1638300"/>
                    </a:xfrm>
                    <a:prstGeom prst="rect">
                      <a:avLst/>
                    </a:prstGeom>
                  </pic:spPr>
                </pic:pic>
              </a:graphicData>
            </a:graphic>
          </wp:inline>
        </w:drawing>
      </w:r>
    </w:p>
    <w:p>
      <w:pPr>
        <w:spacing w:after="100" w:before="30"/>
        <w:jc w:val="center"/>
      </w:pPr>
      <w:r>
        <w:rPr>
          <w:rFonts w:ascii="Times New Roman" w:cs="Times New Roman" w:eastAsia="Times New Roman" w:hAnsi="Times New Roman"/>
          <w:b w:val="false"/>
          <w:bCs w:val="false"/>
          <w:smallCaps w:val="false"/>
          <w:color w:val="000000"/>
          <w:sz w:val="18"/>
          <w:szCs w:val="18"/>
        </w:rPr>
        <w:t xml:space="preserve">Fig. 6. Training curves and per-biomarker feature importance analysis.</w:t>
      </w:r>
    </w:p>
    <w:p>
      <w:pPr>
        <w:spacing w:after="30" w:before="60"/>
        <w:jc w:val="center"/>
      </w:pPr>
      <w:r>
        <w:drawing>
          <wp:inline distT="0" distB="0" distL="0" distR="0">
            <wp:extent cx="2286000" cy="1514475"/>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86000" cy="1514475"/>
                    </a:xfrm>
                    <a:prstGeom prst="rect">
                      <a:avLst/>
                    </a:prstGeom>
                  </pic:spPr>
                </pic:pic>
              </a:graphicData>
            </a:graphic>
          </wp:inline>
        </w:drawing>
      </w:r>
    </w:p>
    <w:p>
      <w:pPr>
        <w:spacing w:after="100" w:before="30"/>
        <w:jc w:val="center"/>
      </w:pPr>
      <w:r>
        <w:rPr>
          <w:rFonts w:ascii="Times New Roman" w:cs="Times New Roman" w:eastAsia="Times New Roman" w:hAnsi="Times New Roman"/>
          <w:b w:val="false"/>
          <w:bCs w:val="false"/>
          <w:smallCaps w:val="false"/>
          <w:color w:val="000000"/>
          <w:sz w:val="18"/>
          <w:szCs w:val="18"/>
        </w:rPr>
        <w:t xml:space="preserve">Fig. 7. Biomarker correlation heatmap across PD and HC groups.</w:t>
      </w:r>
    </w:p>
    <w:p>
      <w:pPr>
        <w:spacing w:after="30" w:before="60"/>
        <w:jc w:val="center"/>
      </w:pPr>
      <w:r>
        <w:drawing>
          <wp:inline distT="0" distB="0" distL="0" distR="0">
            <wp:extent cx="2286000" cy="161925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86000" cy="1619250"/>
                    </a:xfrm>
                    <a:prstGeom prst="rect">
                      <a:avLst/>
                    </a:prstGeom>
                  </pic:spPr>
                </pic:pic>
              </a:graphicData>
            </a:graphic>
          </wp:inline>
        </w:drawing>
      </w:r>
    </w:p>
    <w:p>
      <w:pPr>
        <w:spacing w:after="100" w:before="30"/>
        <w:jc w:val="center"/>
      </w:pPr>
      <w:r>
        <w:rPr>
          <w:rFonts w:ascii="Times New Roman" w:cs="Times New Roman" w:eastAsia="Times New Roman" w:hAnsi="Times New Roman"/>
          <w:b w:val="false"/>
          <w:bCs w:val="false"/>
          <w:smallCaps w:val="false"/>
          <w:color w:val="000000"/>
          <w:sz w:val="18"/>
          <w:szCs w:val="18"/>
        </w:rPr>
        <w:t xml:space="preserve">Fig. 8. CBAM spatial attention maps highlighting tremor-affected stroke regions.</w:t>
      </w:r>
    </w:p>
    <w:p>
      <w:pPr>
        <w:spacing w:after="40" w:before="120"/>
        <w:jc w:val="left"/>
      </w:pPr>
      <w:r>
        <w:rPr>
          <w:rFonts w:ascii="Times New Roman" w:cs="Times New Roman" w:eastAsia="Times New Roman" w:hAnsi="Times New Roman"/>
          <w:b/>
          <w:bCs/>
          <w:smallCaps w:val="false"/>
          <w:color w:val="000000"/>
          <w:sz w:val="20"/>
          <w:szCs w:val="20"/>
        </w:rPr>
        <w:t xml:space="preserve">B. Speech Module</w:t>
      </w:r>
    </w:p>
    <w:p>
      <w:pPr>
        <w:spacing w:after="40" w:before="0" w:line="240" w:lineRule="auto"/>
        <w:jc w:val="both"/>
      </w:pPr>
      <w:r>
        <w:rPr>
          <w:rFonts w:ascii="Times New Roman" w:cs="Times New Roman" w:eastAsia="Times New Roman" w:hAnsi="Times New Roman"/>
          <w:b w:val="false"/>
          <w:bCs w:val="false"/>
          <w:smallCaps w:val="false"/>
          <w:color w:val="000000"/>
          <w:sz w:val="20"/>
          <w:szCs w:val="20"/>
        </w:rPr>
        <w:t xml:space="preserve">The speech module achieves 91.70% accuracy and 0.971 AUC-ROC. PD recall of 96.11% is clinically critical—minimising missed diagnoses.</w:t>
      </w:r>
    </w:p>
    <w:p>
      <w:pPr>
        <w:spacing w:after="30" w:before="0"/>
      </w:pPr>
    </w:p>
    <w:p>
      <w:pPr>
        <w:spacing w:after="40" w:before="100"/>
        <w:jc w:val="center"/>
      </w:pPr>
      <w:r>
        <w:rPr>
          <w:rFonts w:ascii="Times New Roman" w:cs="Times New Roman" w:eastAsia="Times New Roman" w:hAnsi="Times New Roman"/>
          <w:b/>
          <w:bCs/>
          <w:smallCaps/>
          <w:color w:val="000000"/>
          <w:sz w:val="18"/>
          <w:szCs w:val="18"/>
        </w:rPr>
        <w:t xml:space="preserve">TABLE IV — Speech Module Aggregated Metrics (5 Folds)</w:t>
      </w:r>
    </w:p>
    <w:tbl>
      <w:tblPr>
        <w:tblW w:type="dxa" w:w="5824"/>
        <w:tblBorders>
          <w:top w:val="none" w:color="FFFFFF" w:sz="0"/>
          <w:left w:val="none" w:color="FFFFFF" w:sz="0"/>
          <w:bottom w:val="none" w:color="FFFFFF" w:sz="0"/>
          <w:right w:val="none" w:color="FFFFFF" w:sz="0"/>
          <w:insideH w:val="single" w:color="auto" w:sz="4"/>
          <w:insideV w:val="single" w:color="auto" w:sz="4"/>
        </w:tblBorders>
      </w:tblPr>
      <w:tblGrid>
        <w:gridCol w:w="3500"/>
        <w:gridCol w:w="2324"/>
      </w:tblGrid>
      <w:tr>
        <w:trPr>
          <w:tblHeader/>
        </w:trPr>
        <w:tc>
          <w:tcPr>
            <w:tcW w:type="dxa" w:w="3500"/>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Metric</w:t>
            </w:r>
          </w:p>
        </w:tc>
        <w:tc>
          <w:tcPr>
            <w:tcW w:type="dxa" w:w="2324"/>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Value</w:t>
            </w:r>
          </w:p>
        </w:tc>
      </w:tr>
      <w:tr>
        <w:tc>
          <w:tcPr>
            <w:tcW w:type="dxa" w:w="35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Accuracy</w:t>
            </w:r>
          </w:p>
        </w:tc>
        <w:tc>
          <w:tcPr>
            <w:tcW w:type="dxa" w:w="2324"/>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91.70%</w:t>
            </w:r>
          </w:p>
        </w:tc>
      </w:tr>
      <w:tr>
        <w:tc>
          <w:tcPr>
            <w:tcW w:type="dxa" w:w="35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Balanced Accuracy</w:t>
            </w:r>
          </w:p>
        </w:tc>
        <w:tc>
          <w:tcPr>
            <w:tcW w:type="dxa" w:w="2324"/>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91.46%</w:t>
            </w:r>
          </w:p>
        </w:tc>
      </w:tr>
      <w:tr>
        <w:tc>
          <w:tcPr>
            <w:tcW w:type="dxa" w:w="35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F1-Score (Weighted)</w:t>
            </w:r>
          </w:p>
        </w:tc>
        <w:tc>
          <w:tcPr>
            <w:tcW w:type="dxa" w:w="2324"/>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91.66%</w:t>
            </w:r>
          </w:p>
        </w:tc>
      </w:tr>
      <w:tr>
        <w:tc>
          <w:tcPr>
            <w:tcW w:type="dxa" w:w="35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AUC-ROC</w:t>
            </w:r>
          </w:p>
        </w:tc>
        <w:tc>
          <w:tcPr>
            <w:tcW w:type="dxa" w:w="2324"/>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0.971</w:t>
            </w:r>
          </w:p>
        </w:tc>
      </w:tr>
      <w:tr>
        <w:tc>
          <w:tcPr>
            <w:tcW w:type="dxa" w:w="35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PD Recall (Sensitivity)</w:t>
            </w:r>
          </w:p>
        </w:tc>
        <w:tc>
          <w:tcPr>
            <w:tcW w:type="dxa" w:w="2324"/>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96.11%</w:t>
            </w:r>
          </w:p>
        </w:tc>
      </w:tr>
      <w:tr>
        <w:tc>
          <w:tcPr>
            <w:tcW w:type="dxa" w:w="3500"/>
            <w:tcBorders>
              <w:top w:val="none" w:color="FFFFFF" w:sz="0"/>
              <w:left w:val="none" w:color="FFFFFF" w:sz="0"/>
              <w:bottom w:val="single" w:color="000000" w:sz="8"/>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HC Recall (Specificity)</w:t>
            </w:r>
          </w:p>
        </w:tc>
        <w:tc>
          <w:tcPr>
            <w:tcW w:type="dxa" w:w="2324"/>
            <w:tcBorders>
              <w:top w:val="none" w:color="FFFFFF" w:sz="0"/>
              <w:left w:val="none" w:color="FFFFFF" w:sz="0"/>
              <w:bottom w:val="single" w:color="000000" w:sz="8"/>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86.80%</w:t>
            </w:r>
          </w:p>
        </w:tc>
      </w:tr>
    </w:tbl>
    <w:p>
      <w:pPr>
        <w:spacing w:after="30" w:before="0"/>
      </w:pPr>
    </w:p>
    <w:p>
      <w:pPr>
        <w:spacing w:after="40" w:before="100"/>
        <w:jc w:val="center"/>
      </w:pPr>
      <w:r>
        <w:rPr>
          <w:rFonts w:ascii="Times New Roman" w:cs="Times New Roman" w:eastAsia="Times New Roman" w:hAnsi="Times New Roman"/>
          <w:b/>
          <w:bCs/>
          <w:smallCaps/>
          <w:color w:val="000000"/>
          <w:sz w:val="18"/>
          <w:szCs w:val="18"/>
        </w:rPr>
        <w:t xml:space="preserve">TABLE V — Speech Module Per-Fold Performance</w:t>
      </w:r>
    </w:p>
    <w:tbl>
      <w:tblPr>
        <w:tblW w:type="dxa" w:w="4824"/>
        <w:tblBorders>
          <w:top w:val="none" w:color="FFFFFF" w:sz="0"/>
          <w:left w:val="none" w:color="FFFFFF" w:sz="0"/>
          <w:bottom w:val="none" w:color="FFFFFF" w:sz="0"/>
          <w:right w:val="none" w:color="FFFFFF" w:sz="0"/>
          <w:insideH w:val="single" w:color="auto" w:sz="4"/>
          <w:insideV w:val="single" w:color="auto" w:sz="4"/>
        </w:tblBorders>
      </w:tblPr>
      <w:tblGrid>
        <w:gridCol w:w="1200"/>
        <w:gridCol w:w="1300"/>
        <w:gridCol w:w="1312"/>
        <w:gridCol w:w="1012"/>
      </w:tblGrid>
      <w:tr>
        <w:trPr>
          <w:tblHeader/>
        </w:trPr>
        <w:tc>
          <w:tcPr>
            <w:tcW w:type="dxa" w:w="1200"/>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Fold</w:t>
            </w:r>
          </w:p>
        </w:tc>
        <w:tc>
          <w:tcPr>
            <w:tcW w:type="dxa" w:w="1300"/>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F1</w:t>
            </w:r>
          </w:p>
        </w:tc>
        <w:tc>
          <w:tcPr>
            <w:tcW w:type="dxa" w:w="1312"/>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PD Recall</w:t>
            </w:r>
          </w:p>
        </w:tc>
        <w:tc>
          <w:tcPr>
            <w:tcW w:type="dxa" w:w="1012"/>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HC Recall</w:t>
            </w:r>
          </w:p>
        </w:tc>
      </w:tr>
      <w:tr>
        <w:tc>
          <w:tcPr>
            <w:tcW w:type="dxa" w:w="12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1</w:t>
            </w:r>
          </w:p>
        </w:tc>
        <w:tc>
          <w:tcPr>
            <w:tcW w:type="dxa" w:w="13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0.953</w:t>
            </w:r>
          </w:p>
        </w:tc>
        <w:tc>
          <w:tcPr>
            <w:tcW w:type="dxa" w:w="13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95.1%</w:t>
            </w:r>
          </w:p>
        </w:tc>
        <w:tc>
          <w:tcPr>
            <w:tcW w:type="dxa" w:w="10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98.2%</w:t>
            </w:r>
          </w:p>
        </w:tc>
      </w:tr>
      <w:tr>
        <w:tc>
          <w:tcPr>
            <w:tcW w:type="dxa" w:w="12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2</w:t>
            </w:r>
          </w:p>
        </w:tc>
        <w:tc>
          <w:tcPr>
            <w:tcW w:type="dxa" w:w="13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0.945</w:t>
            </w:r>
          </w:p>
        </w:tc>
        <w:tc>
          <w:tcPr>
            <w:tcW w:type="dxa" w:w="13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100.0%</w:t>
            </w:r>
          </w:p>
        </w:tc>
        <w:tc>
          <w:tcPr>
            <w:tcW w:type="dxa" w:w="10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89.5%</w:t>
            </w:r>
          </w:p>
        </w:tc>
      </w:tr>
      <w:tr>
        <w:tc>
          <w:tcPr>
            <w:tcW w:type="dxa" w:w="12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3</w:t>
            </w:r>
          </w:p>
        </w:tc>
        <w:tc>
          <w:tcPr>
            <w:tcW w:type="dxa" w:w="13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0.873</w:t>
            </w:r>
          </w:p>
        </w:tc>
        <w:tc>
          <w:tcPr>
            <w:tcW w:type="dxa" w:w="13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79.2%</w:t>
            </w:r>
          </w:p>
        </w:tc>
        <w:tc>
          <w:tcPr>
            <w:tcW w:type="dxa" w:w="10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94.7%</w:t>
            </w:r>
          </w:p>
        </w:tc>
      </w:tr>
      <w:tr>
        <w:tc>
          <w:tcPr>
            <w:tcW w:type="dxa" w:w="12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4</w:t>
            </w:r>
          </w:p>
        </w:tc>
        <w:tc>
          <w:tcPr>
            <w:tcW w:type="dxa" w:w="13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0.838</w:t>
            </w:r>
          </w:p>
        </w:tc>
        <w:tc>
          <w:tcPr>
            <w:tcW w:type="dxa" w:w="13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100.0%</w:t>
            </w:r>
          </w:p>
        </w:tc>
        <w:tc>
          <w:tcPr>
            <w:tcW w:type="dxa" w:w="10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67.1%</w:t>
            </w:r>
          </w:p>
        </w:tc>
      </w:tr>
      <w:tr>
        <w:tc>
          <w:tcPr>
            <w:tcW w:type="dxa" w:w="12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5</w:t>
            </w:r>
          </w:p>
        </w:tc>
        <w:tc>
          <w:tcPr>
            <w:tcW w:type="dxa" w:w="13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0.920</w:t>
            </w:r>
          </w:p>
        </w:tc>
        <w:tc>
          <w:tcPr>
            <w:tcW w:type="dxa" w:w="13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100.0%</w:t>
            </w:r>
          </w:p>
        </w:tc>
        <w:tc>
          <w:tcPr>
            <w:tcW w:type="dxa" w:w="10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86.7%</w:t>
            </w:r>
          </w:p>
        </w:tc>
      </w:tr>
      <w:tr>
        <w:tc>
          <w:tcPr>
            <w:tcW w:type="dxa" w:w="1200"/>
            <w:tcBorders>
              <w:top w:val="none" w:color="FFFFFF" w:sz="0"/>
              <w:left w:val="none" w:color="FFFFFF" w:sz="0"/>
              <w:bottom w:val="single" w:color="000000" w:sz="8"/>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Mean±Std</w:t>
            </w:r>
          </w:p>
        </w:tc>
        <w:tc>
          <w:tcPr>
            <w:tcW w:type="dxa" w:w="1300"/>
            <w:tcBorders>
              <w:top w:val="none" w:color="FFFFFF" w:sz="0"/>
              <w:left w:val="none" w:color="FFFFFF" w:sz="0"/>
              <w:bottom w:val="single" w:color="000000" w:sz="8"/>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0.906±0.044</w:t>
            </w:r>
          </w:p>
        </w:tc>
        <w:tc>
          <w:tcPr>
            <w:tcW w:type="dxa" w:w="1312"/>
            <w:tcBorders>
              <w:top w:val="none" w:color="FFFFFF" w:sz="0"/>
              <w:left w:val="none" w:color="FFFFFF" w:sz="0"/>
              <w:bottom w:val="single" w:color="000000" w:sz="8"/>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94.9%</w:t>
            </w:r>
          </w:p>
        </w:tc>
        <w:tc>
          <w:tcPr>
            <w:tcW w:type="dxa" w:w="1012"/>
            <w:tcBorders>
              <w:top w:val="none" w:color="FFFFFF" w:sz="0"/>
              <w:left w:val="none" w:color="FFFFFF" w:sz="0"/>
              <w:bottom w:val="single" w:color="000000" w:sz="8"/>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87.3%</w:t>
            </w:r>
          </w:p>
        </w:tc>
      </w:tr>
    </w:tbl>
    <w:p>
      <w:pPr>
        <w:spacing w:after="60" w:before="0"/>
      </w:pPr>
    </w:p>
    <w:p>
      <w:pPr>
        <w:spacing w:after="30" w:before="60"/>
        <w:jc w:val="center"/>
      </w:pPr>
      <w:r>
        <w:drawing>
          <wp:inline distT="0" distB="0" distL="0" distR="0">
            <wp:extent cx="2286000" cy="5715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86000" cy="571500"/>
                    </a:xfrm>
                    <a:prstGeom prst="rect">
                      <a:avLst/>
                    </a:prstGeom>
                  </pic:spPr>
                </pic:pic>
              </a:graphicData>
            </a:graphic>
          </wp:inline>
        </w:drawing>
      </w:r>
    </w:p>
    <w:p>
      <w:pPr>
        <w:spacing w:after="100" w:before="30"/>
        <w:jc w:val="center"/>
      </w:pPr>
      <w:r>
        <w:rPr>
          <w:rFonts w:ascii="Times New Roman" w:cs="Times New Roman" w:eastAsia="Times New Roman" w:hAnsi="Times New Roman"/>
          <w:b w:val="false"/>
          <w:bCs w:val="false"/>
          <w:smallCaps w:val="false"/>
          <w:color w:val="000000"/>
          <w:sz w:val="18"/>
          <w:szCs w:val="18"/>
        </w:rPr>
        <w:t xml:space="preserve">Fig. 9. Speech confusion matrix and per-fold ML vs. DL vs. Stacking F1 comparison.</w:t>
      </w:r>
    </w:p>
    <w:p>
      <w:pPr>
        <w:spacing w:after="30" w:before="60"/>
        <w:jc w:val="center"/>
      </w:pPr>
      <w:r>
        <w:drawing>
          <wp:inline distT="0" distB="0" distL="0" distR="0">
            <wp:extent cx="2286000" cy="200025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86000" cy="2000250"/>
                    </a:xfrm>
                    <a:prstGeom prst="rect">
                      <a:avLst/>
                    </a:prstGeom>
                  </pic:spPr>
                </pic:pic>
              </a:graphicData>
            </a:graphic>
          </wp:inline>
        </w:drawing>
      </w:r>
    </w:p>
    <w:p>
      <w:pPr>
        <w:spacing w:after="100" w:before="30"/>
        <w:jc w:val="center"/>
      </w:pPr>
      <w:r>
        <w:rPr>
          <w:rFonts w:ascii="Times New Roman" w:cs="Times New Roman" w:eastAsia="Times New Roman" w:hAnsi="Times New Roman"/>
          <w:b w:val="false"/>
          <w:bCs w:val="false"/>
          <w:smallCaps w:val="false"/>
          <w:color w:val="000000"/>
          <w:sz w:val="18"/>
          <w:szCs w:val="18"/>
        </w:rPr>
        <w:t xml:space="preserve">Fig. 10. Speech training radar heatmap of multi-pathway feature contribution weights across 5-fold CV.</w:t>
      </w:r>
    </w:p>
    <w:p>
      <w:pPr>
        <w:spacing w:after="30" w:before="60"/>
        <w:jc w:val="center"/>
      </w:pPr>
      <w:r>
        <w:drawing>
          <wp:inline distT="0" distB="0" distL="0" distR="0">
            <wp:extent cx="2286000" cy="200025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86000" cy="2000250"/>
                    </a:xfrm>
                    <a:prstGeom prst="rect">
                      <a:avLst/>
                    </a:prstGeom>
                  </pic:spPr>
                </pic:pic>
              </a:graphicData>
            </a:graphic>
          </wp:inline>
        </w:drawing>
      </w:r>
    </w:p>
    <w:p>
      <w:pPr>
        <w:spacing w:after="100" w:before="30"/>
        <w:jc w:val="center"/>
      </w:pPr>
      <w:r>
        <w:rPr>
          <w:rFonts w:ascii="Times New Roman" w:cs="Times New Roman" w:eastAsia="Times New Roman" w:hAnsi="Times New Roman"/>
          <w:b w:val="false"/>
          <w:bCs w:val="false"/>
          <w:smallCaps w:val="false"/>
          <w:color w:val="000000"/>
          <w:sz w:val="18"/>
          <w:szCs w:val="18"/>
        </w:rPr>
        <w:t xml:space="preserve">Fig. 11. Speech comprehensive analysis: AUC-ROC curves, precision-recall, pathway contributions, calibration.</w:t>
      </w:r>
    </w:p>
    <w:p>
      <w:pPr>
        <w:spacing w:after="40" w:before="0" w:line="240" w:lineRule="auto"/>
        <w:ind w:firstLine="180"/>
        <w:jc w:val="both"/>
      </w:pPr>
      <w:r>
        <w:rPr>
          <w:rFonts w:ascii="Times New Roman" w:cs="Times New Roman" w:eastAsia="Times New Roman" w:hAnsi="Times New Roman"/>
          <w:b w:val="false"/>
          <w:bCs w:val="false"/>
          <w:smallCaps w:val="false"/>
          <w:color w:val="000000"/>
          <w:sz w:val="20"/>
          <w:szCs w:val="20"/>
        </w:rPr>
        <w:t xml:space="preserve">Per-fold variation (F1 range 0.838–0.953) reflects dataset heterogeneity. SVM achieved the highest individual ML classifier performance (F1 up to 0.988 in Fold 1). The meta-learner consistently outperforms both standalone DL and ML pipelines.</w:t>
      </w:r>
    </w:p>
    <w:p>
      <w:pPr>
        <w:spacing w:after="40" w:before="120"/>
        <w:jc w:val="left"/>
      </w:pPr>
      <w:r>
        <w:rPr>
          <w:rFonts w:ascii="Times New Roman" w:cs="Times New Roman" w:eastAsia="Times New Roman" w:hAnsi="Times New Roman"/>
          <w:b/>
          <w:bCs/>
          <w:smallCaps w:val="false"/>
          <w:color w:val="000000"/>
          <w:sz w:val="20"/>
          <w:szCs w:val="20"/>
        </w:rPr>
        <w:t xml:space="preserve">C. CMAFN Fusion Results</w:t>
      </w:r>
    </w:p>
    <w:p>
      <w:pPr>
        <w:spacing w:after="40" w:before="0" w:line="240" w:lineRule="auto"/>
        <w:jc w:val="both"/>
      </w:pPr>
      <w:r>
        <w:rPr>
          <w:rFonts w:ascii="Times New Roman" w:cs="Times New Roman" w:eastAsia="Times New Roman" w:hAnsi="Times New Roman"/>
          <w:b w:val="false"/>
          <w:bCs w:val="false"/>
          <w:smallCaps w:val="false"/>
          <w:color w:val="000000"/>
          <w:sz w:val="20"/>
          <w:szCs w:val="20"/>
        </w:rPr>
        <w:t xml:space="preserve">CMAFN achieves 96.94% accuracy and 0.9995 AUC-ROC. Two of five folds reach perfect AUC-ROC (1.0000). MC Dropout uncertainty (mean 0.061) confirms well-calibrated predictions.</w:t>
      </w:r>
    </w:p>
    <w:p>
      <w:pPr>
        <w:spacing w:after="30" w:before="0"/>
      </w:pPr>
    </w:p>
    <w:p>
      <w:pPr>
        <w:spacing w:after="40" w:before="100"/>
        <w:jc w:val="center"/>
      </w:pPr>
      <w:r>
        <w:rPr>
          <w:rFonts w:ascii="Times New Roman" w:cs="Times New Roman" w:eastAsia="Times New Roman" w:hAnsi="Times New Roman"/>
          <w:b/>
          <w:bCs/>
          <w:smallCaps/>
          <w:color w:val="000000"/>
          <w:sz w:val="18"/>
          <w:szCs w:val="18"/>
        </w:rPr>
        <w:t xml:space="preserve">TABLE VI — CMAFN Overall Performance Metrics</w:t>
      </w:r>
    </w:p>
    <w:tbl>
      <w:tblPr>
        <w:tblW w:type="dxa" w:w="5824"/>
        <w:tblBorders>
          <w:top w:val="none" w:color="FFFFFF" w:sz="0"/>
          <w:left w:val="none" w:color="FFFFFF" w:sz="0"/>
          <w:bottom w:val="none" w:color="FFFFFF" w:sz="0"/>
          <w:right w:val="none" w:color="FFFFFF" w:sz="0"/>
          <w:insideH w:val="single" w:color="auto" w:sz="4"/>
          <w:insideV w:val="single" w:color="auto" w:sz="4"/>
        </w:tblBorders>
      </w:tblPr>
      <w:tblGrid>
        <w:gridCol w:w="3500"/>
        <w:gridCol w:w="2324"/>
      </w:tblGrid>
      <w:tr>
        <w:trPr>
          <w:tblHeader/>
        </w:trPr>
        <w:tc>
          <w:tcPr>
            <w:tcW w:type="dxa" w:w="3500"/>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Metric</w:t>
            </w:r>
          </w:p>
        </w:tc>
        <w:tc>
          <w:tcPr>
            <w:tcW w:type="dxa" w:w="2324"/>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Value</w:t>
            </w:r>
          </w:p>
        </w:tc>
      </w:tr>
      <w:tr>
        <w:tc>
          <w:tcPr>
            <w:tcW w:type="dxa" w:w="35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Accuracy</w:t>
            </w:r>
          </w:p>
        </w:tc>
        <w:tc>
          <w:tcPr>
            <w:tcW w:type="dxa" w:w="2324"/>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96.94%</w:t>
            </w:r>
          </w:p>
        </w:tc>
      </w:tr>
      <w:tr>
        <w:tc>
          <w:tcPr>
            <w:tcW w:type="dxa" w:w="35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Balanced Accuracy</w:t>
            </w:r>
          </w:p>
        </w:tc>
        <w:tc>
          <w:tcPr>
            <w:tcW w:type="dxa" w:w="2324"/>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96.94%</w:t>
            </w:r>
          </w:p>
        </w:tc>
      </w:tr>
      <w:tr>
        <w:tc>
          <w:tcPr>
            <w:tcW w:type="dxa" w:w="35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F1-Score (Macro)</w:t>
            </w:r>
          </w:p>
        </w:tc>
        <w:tc>
          <w:tcPr>
            <w:tcW w:type="dxa" w:w="2324"/>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96.94%</w:t>
            </w:r>
          </w:p>
        </w:tc>
      </w:tr>
      <w:tr>
        <w:tc>
          <w:tcPr>
            <w:tcW w:type="dxa" w:w="35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AUC-ROC</w:t>
            </w:r>
          </w:p>
        </w:tc>
        <w:tc>
          <w:tcPr>
            <w:tcW w:type="dxa" w:w="2324"/>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0.9995</w:t>
            </w:r>
          </w:p>
        </w:tc>
      </w:tr>
      <w:tr>
        <w:tc>
          <w:tcPr>
            <w:tcW w:type="dxa" w:w="35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PD Precision / Recall</w:t>
            </w:r>
          </w:p>
        </w:tc>
        <w:tc>
          <w:tcPr>
            <w:tcW w:type="dxa" w:w="2324"/>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100.0% / 93.88%</w:t>
            </w:r>
          </w:p>
        </w:tc>
      </w:tr>
      <w:tr>
        <w:tc>
          <w:tcPr>
            <w:tcW w:type="dxa" w:w="35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HC Precision / Recall</w:t>
            </w:r>
          </w:p>
        </w:tc>
        <w:tc>
          <w:tcPr>
            <w:tcW w:type="dxa" w:w="2324"/>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94.23% / 100.0%</w:t>
            </w:r>
          </w:p>
        </w:tc>
      </w:tr>
      <w:tr>
        <w:tc>
          <w:tcPr>
            <w:tcW w:type="dxa" w:w="35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MC Dropout Accuracy</w:t>
            </w:r>
          </w:p>
        </w:tc>
        <w:tc>
          <w:tcPr>
            <w:tcW w:type="dxa" w:w="2324"/>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97.14%</w:t>
            </w:r>
          </w:p>
        </w:tc>
      </w:tr>
      <w:tr>
        <w:tc>
          <w:tcPr>
            <w:tcW w:type="dxa" w:w="3500"/>
            <w:tcBorders>
              <w:top w:val="none" w:color="FFFFFF" w:sz="0"/>
              <w:left w:val="none" w:color="FFFFFF" w:sz="0"/>
              <w:bottom w:val="single" w:color="000000" w:sz="8"/>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Mean Uncertainty</w:t>
            </w:r>
          </w:p>
        </w:tc>
        <w:tc>
          <w:tcPr>
            <w:tcW w:type="dxa" w:w="2324"/>
            <w:tcBorders>
              <w:top w:val="none" w:color="FFFFFF" w:sz="0"/>
              <w:left w:val="none" w:color="FFFFFF" w:sz="0"/>
              <w:bottom w:val="single" w:color="000000" w:sz="8"/>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0.061</w:t>
            </w:r>
          </w:p>
        </w:tc>
      </w:tr>
    </w:tbl>
    <w:p>
      <w:pPr>
        <w:spacing w:after="30" w:before="0"/>
      </w:pPr>
    </w:p>
    <w:p>
      <w:pPr>
        <w:spacing w:after="40" w:before="100"/>
        <w:jc w:val="center"/>
      </w:pPr>
      <w:r>
        <w:rPr>
          <w:rFonts w:ascii="Times New Roman" w:cs="Times New Roman" w:eastAsia="Times New Roman" w:hAnsi="Times New Roman"/>
          <w:b/>
          <w:bCs/>
          <w:smallCaps/>
          <w:color w:val="000000"/>
          <w:sz w:val="18"/>
          <w:szCs w:val="18"/>
        </w:rPr>
        <w:t xml:space="preserve">TABLE VII — CMAFN 5-Fold Cross-Validation Stability</w:t>
      </w:r>
    </w:p>
    <w:tbl>
      <w:tblPr>
        <w:tblW w:type="dxa" w:w="5824"/>
        <w:tblBorders>
          <w:top w:val="none" w:color="FFFFFF" w:sz="0"/>
          <w:left w:val="none" w:color="FFFFFF" w:sz="0"/>
          <w:bottom w:val="none" w:color="FFFFFF" w:sz="0"/>
          <w:right w:val="none" w:color="FFFFFF" w:sz="0"/>
          <w:insideH w:val="single" w:color="auto" w:sz="4"/>
          <w:insideV w:val="single" w:color="auto" w:sz="4"/>
        </w:tblBorders>
      </w:tblPr>
      <w:tblGrid>
        <w:gridCol w:w="1212"/>
        <w:gridCol w:w="1700"/>
        <w:gridCol w:w="1400"/>
        <w:gridCol w:w="1512"/>
      </w:tblGrid>
      <w:tr>
        <w:trPr>
          <w:tblHeader/>
        </w:trPr>
        <w:tc>
          <w:tcPr>
            <w:tcW w:type="dxa" w:w="1212"/>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Fold</w:t>
            </w:r>
          </w:p>
        </w:tc>
        <w:tc>
          <w:tcPr>
            <w:tcW w:type="dxa" w:w="1700"/>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Bal. Acc.</w:t>
            </w:r>
          </w:p>
        </w:tc>
        <w:tc>
          <w:tcPr>
            <w:tcW w:type="dxa" w:w="1400"/>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F1 (Macro)</w:t>
            </w:r>
          </w:p>
        </w:tc>
        <w:tc>
          <w:tcPr>
            <w:tcW w:type="dxa" w:w="1512"/>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AUC-ROC</w:t>
            </w:r>
          </w:p>
        </w:tc>
      </w:tr>
      <w:tr>
        <w:tc>
          <w:tcPr>
            <w:tcW w:type="dxa" w:w="12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1</w:t>
            </w:r>
          </w:p>
        </w:tc>
        <w:tc>
          <w:tcPr>
            <w:tcW w:type="dxa" w:w="17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99.10%</w:t>
            </w:r>
          </w:p>
        </w:tc>
        <w:tc>
          <w:tcPr>
            <w:tcW w:type="dxa" w:w="14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0.991</w:t>
            </w:r>
          </w:p>
        </w:tc>
        <w:tc>
          <w:tcPr>
            <w:tcW w:type="dxa" w:w="15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0.9998</w:t>
            </w:r>
          </w:p>
        </w:tc>
      </w:tr>
      <w:tr>
        <w:tc>
          <w:tcPr>
            <w:tcW w:type="dxa" w:w="12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2</w:t>
            </w:r>
          </w:p>
        </w:tc>
        <w:tc>
          <w:tcPr>
            <w:tcW w:type="dxa" w:w="17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96.40%</w:t>
            </w:r>
          </w:p>
        </w:tc>
        <w:tc>
          <w:tcPr>
            <w:tcW w:type="dxa" w:w="14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0.964</w:t>
            </w:r>
          </w:p>
        </w:tc>
        <w:tc>
          <w:tcPr>
            <w:tcW w:type="dxa" w:w="15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0.9970</w:t>
            </w:r>
          </w:p>
        </w:tc>
      </w:tr>
      <w:tr>
        <w:tc>
          <w:tcPr>
            <w:tcW w:type="dxa" w:w="12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3</w:t>
            </w:r>
          </w:p>
        </w:tc>
        <w:tc>
          <w:tcPr>
            <w:tcW w:type="dxa" w:w="17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99.46%</w:t>
            </w:r>
          </w:p>
        </w:tc>
        <w:tc>
          <w:tcPr>
            <w:tcW w:type="dxa" w:w="14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0.995</w:t>
            </w:r>
          </w:p>
        </w:tc>
        <w:tc>
          <w:tcPr>
            <w:tcW w:type="dxa" w:w="15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0.9996</w:t>
            </w:r>
          </w:p>
        </w:tc>
      </w:tr>
      <w:tr>
        <w:tc>
          <w:tcPr>
            <w:tcW w:type="dxa" w:w="12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4</w:t>
            </w:r>
          </w:p>
        </w:tc>
        <w:tc>
          <w:tcPr>
            <w:tcW w:type="dxa" w:w="17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99.82%</w:t>
            </w:r>
          </w:p>
        </w:tc>
        <w:tc>
          <w:tcPr>
            <w:tcW w:type="dxa" w:w="14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0.998</w:t>
            </w:r>
          </w:p>
        </w:tc>
        <w:tc>
          <w:tcPr>
            <w:tcW w:type="dxa" w:w="15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1.0000</w:t>
            </w:r>
          </w:p>
        </w:tc>
      </w:tr>
      <w:tr>
        <w:tc>
          <w:tcPr>
            <w:tcW w:type="dxa" w:w="12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5</w:t>
            </w:r>
          </w:p>
        </w:tc>
        <w:tc>
          <w:tcPr>
            <w:tcW w:type="dxa" w:w="17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99.82%</w:t>
            </w:r>
          </w:p>
        </w:tc>
        <w:tc>
          <w:tcPr>
            <w:tcW w:type="dxa" w:w="14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0.998</w:t>
            </w:r>
          </w:p>
        </w:tc>
        <w:tc>
          <w:tcPr>
            <w:tcW w:type="dxa" w:w="15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1.0000</w:t>
            </w:r>
          </w:p>
        </w:tc>
      </w:tr>
      <w:tr>
        <w:tc>
          <w:tcPr>
            <w:tcW w:type="dxa" w:w="1212"/>
            <w:tcBorders>
              <w:top w:val="none" w:color="FFFFFF" w:sz="0"/>
              <w:left w:val="none" w:color="FFFFFF" w:sz="0"/>
              <w:bottom w:val="single" w:color="000000" w:sz="8"/>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Mean±Std</w:t>
            </w:r>
          </w:p>
        </w:tc>
        <w:tc>
          <w:tcPr>
            <w:tcW w:type="dxa" w:w="1700"/>
            <w:tcBorders>
              <w:top w:val="none" w:color="FFFFFF" w:sz="0"/>
              <w:left w:val="none" w:color="FFFFFF" w:sz="0"/>
              <w:bottom w:val="single" w:color="000000" w:sz="8"/>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98.92%±1.29%</w:t>
            </w:r>
          </w:p>
        </w:tc>
        <w:tc>
          <w:tcPr>
            <w:tcW w:type="dxa" w:w="1400"/>
            <w:tcBorders>
              <w:top w:val="none" w:color="FFFFFF" w:sz="0"/>
              <w:left w:val="none" w:color="FFFFFF" w:sz="0"/>
              <w:bottom w:val="single" w:color="000000" w:sz="8"/>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0.989±0.013</w:t>
            </w:r>
          </w:p>
        </w:tc>
        <w:tc>
          <w:tcPr>
            <w:tcW w:type="dxa" w:w="1512"/>
            <w:tcBorders>
              <w:top w:val="none" w:color="FFFFFF" w:sz="0"/>
              <w:left w:val="none" w:color="FFFFFF" w:sz="0"/>
              <w:bottom w:val="single" w:color="000000" w:sz="8"/>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0.999±0.001</w:t>
            </w:r>
          </w:p>
        </w:tc>
      </w:tr>
    </w:tbl>
    <w:p>
      <w:pPr>
        <w:spacing w:after="60" w:before="0"/>
      </w:pPr>
    </w:p>
    <w:p>
      <w:pPr>
        <w:spacing w:after="30" w:before="60"/>
        <w:jc w:val="center"/>
      </w:pPr>
      <w:r>
        <w:drawing>
          <wp:inline distT="0" distB="0" distL="0" distR="0">
            <wp:extent cx="2286000" cy="676275"/>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0" cy="676275"/>
                    </a:xfrm>
                    <a:prstGeom prst="rect">
                      <a:avLst/>
                    </a:prstGeom>
                  </pic:spPr>
                </pic:pic>
              </a:graphicData>
            </a:graphic>
          </wp:inline>
        </w:drawing>
      </w:r>
    </w:p>
    <w:p>
      <w:pPr>
        <w:spacing w:after="100" w:before="30"/>
        <w:jc w:val="center"/>
      </w:pPr>
      <w:r>
        <w:rPr>
          <w:rFonts w:ascii="Times New Roman" w:cs="Times New Roman" w:eastAsia="Times New Roman" w:hAnsi="Times New Roman"/>
          <w:b w:val="false"/>
          <w:bCs w:val="false"/>
          <w:smallCaps w:val="false"/>
          <w:color w:val="000000"/>
          <w:sz w:val="18"/>
          <w:szCs w:val="18"/>
        </w:rPr>
        <w:t xml:space="preserve">Fig. 12. CMAFN confusion matrix — perfect HC recall (100.0%), 93.88% PD recall.</w:t>
      </w:r>
    </w:p>
    <w:p>
      <w:pPr>
        <w:spacing w:after="30" w:before="60"/>
        <w:jc w:val="center"/>
      </w:pPr>
      <w:r>
        <w:drawing>
          <wp:inline distT="0" distB="0" distL="0" distR="0">
            <wp:extent cx="2286000" cy="8001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86000" cy="800100"/>
                    </a:xfrm>
                    <a:prstGeom prst="rect">
                      <a:avLst/>
                    </a:prstGeom>
                  </pic:spPr>
                </pic:pic>
              </a:graphicData>
            </a:graphic>
          </wp:inline>
        </w:drawing>
      </w:r>
    </w:p>
    <w:p>
      <w:pPr>
        <w:spacing w:after="100" w:before="30"/>
        <w:jc w:val="center"/>
      </w:pPr>
      <w:r>
        <w:rPr>
          <w:rFonts w:ascii="Times New Roman" w:cs="Times New Roman" w:eastAsia="Times New Roman" w:hAnsi="Times New Roman"/>
          <w:b w:val="false"/>
          <w:bCs w:val="false"/>
          <w:smallCaps w:val="false"/>
          <w:color w:val="000000"/>
          <w:sz w:val="18"/>
          <w:szCs w:val="18"/>
        </w:rPr>
        <w:t xml:space="preserve">Fig. 13. CMAFN per-fold balanced accuracy, F1, and AUC-ROC stability.</w:t>
      </w:r>
    </w:p>
    <w:p>
      <w:pPr>
        <w:spacing w:after="30" w:before="60"/>
        <w:jc w:val="center"/>
      </w:pPr>
      <w:r>
        <w:drawing>
          <wp:inline distT="0" distB="0" distL="0" distR="0">
            <wp:extent cx="2286000" cy="169545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86000" cy="1695450"/>
                    </a:xfrm>
                    <a:prstGeom prst="rect">
                      <a:avLst/>
                    </a:prstGeom>
                  </pic:spPr>
                </pic:pic>
              </a:graphicData>
            </a:graphic>
          </wp:inline>
        </w:drawing>
      </w:r>
    </w:p>
    <w:p>
      <w:pPr>
        <w:spacing w:after="100" w:before="30"/>
        <w:jc w:val="center"/>
      </w:pPr>
      <w:r>
        <w:rPr>
          <w:rFonts w:ascii="Times New Roman" w:cs="Times New Roman" w:eastAsia="Times New Roman" w:hAnsi="Times New Roman"/>
          <w:b w:val="false"/>
          <w:bCs w:val="false"/>
          <w:smallCaps w:val="false"/>
          <w:color w:val="000000"/>
          <w:sz w:val="18"/>
          <w:szCs w:val="18"/>
        </w:rPr>
        <w:t xml:space="preserve">Fig. 14. CMAFN comprehensive analysis: AUC-ROC curves, confidence distributions, and cross-modal attention weight visualisation.</w:t>
      </w:r>
    </w:p>
    <w:p>
      <w:pPr>
        <w:spacing w:after="40" w:before="120"/>
        <w:jc w:val="left"/>
      </w:pPr>
      <w:r>
        <w:rPr>
          <w:rFonts w:ascii="Times New Roman" w:cs="Times New Roman" w:eastAsia="Times New Roman" w:hAnsi="Times New Roman"/>
          <w:b/>
          <w:bCs/>
          <w:smallCaps w:val="false"/>
          <w:color w:val="000000"/>
          <w:sz w:val="20"/>
          <w:szCs w:val="20"/>
        </w:rPr>
        <w:t xml:space="preserve">D. Ablation Study</w:t>
      </w:r>
    </w:p>
    <w:p>
      <w:pPr>
        <w:spacing w:after="20" w:before="0"/>
      </w:pPr>
    </w:p>
    <w:p>
      <w:pPr>
        <w:spacing w:after="40" w:before="100"/>
        <w:jc w:val="center"/>
      </w:pPr>
      <w:r>
        <w:rPr>
          <w:rFonts w:ascii="Times New Roman" w:cs="Times New Roman" w:eastAsia="Times New Roman" w:hAnsi="Times New Roman"/>
          <w:b/>
          <w:bCs/>
          <w:smallCaps/>
          <w:color w:val="000000"/>
          <w:sz w:val="18"/>
          <w:szCs w:val="18"/>
        </w:rPr>
        <w:t xml:space="preserve">TABLE VIII — Ablation: Unimodal vs. Multimodal</w:t>
      </w:r>
    </w:p>
    <w:tbl>
      <w:tblPr>
        <w:tblW w:type="dxa" w:w="5824"/>
        <w:tblBorders>
          <w:top w:val="none" w:color="FFFFFF" w:sz="0"/>
          <w:left w:val="none" w:color="FFFFFF" w:sz="0"/>
          <w:bottom w:val="none" w:color="FFFFFF" w:sz="0"/>
          <w:right w:val="none" w:color="FFFFFF" w:sz="0"/>
          <w:insideH w:val="single" w:color="auto" w:sz="4"/>
          <w:insideV w:val="single" w:color="auto" w:sz="4"/>
        </w:tblBorders>
      </w:tblPr>
      <w:tblGrid>
        <w:gridCol w:w="2400"/>
        <w:gridCol w:w="1212"/>
        <w:gridCol w:w="950"/>
        <w:gridCol w:w="1262"/>
      </w:tblGrid>
      <w:tr>
        <w:trPr>
          <w:tblHeader/>
        </w:trPr>
        <w:tc>
          <w:tcPr>
            <w:tcW w:type="dxa" w:w="2400"/>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Configuration</w:t>
            </w:r>
          </w:p>
        </w:tc>
        <w:tc>
          <w:tcPr>
            <w:tcW w:type="dxa" w:w="1212"/>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Accuracy</w:t>
            </w:r>
          </w:p>
        </w:tc>
        <w:tc>
          <w:tcPr>
            <w:tcW w:type="dxa" w:w="950"/>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AUC</w:t>
            </w:r>
          </w:p>
        </w:tc>
        <w:tc>
          <w:tcPr>
            <w:tcW w:type="dxa" w:w="1262"/>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F1 (Macro)</w:t>
            </w:r>
          </w:p>
        </w:tc>
      </w:tr>
      <w:tr>
        <w:tc>
          <w:tcPr>
            <w:tcW w:type="dxa" w:w="24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Handwriting Only</w:t>
            </w:r>
          </w:p>
        </w:tc>
        <w:tc>
          <w:tcPr>
            <w:tcW w:type="dxa" w:w="12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87.55%</w:t>
            </w:r>
          </w:p>
        </w:tc>
        <w:tc>
          <w:tcPr>
            <w:tcW w:type="dxa" w:w="95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0.935</w:t>
            </w:r>
          </w:p>
        </w:tc>
        <w:tc>
          <w:tcPr>
            <w:tcW w:type="dxa" w:w="126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0.875</w:t>
            </w:r>
          </w:p>
        </w:tc>
      </w:tr>
      <w:tr>
        <w:tc>
          <w:tcPr>
            <w:tcW w:type="dxa" w:w="24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Speech Only</w:t>
            </w:r>
          </w:p>
        </w:tc>
        <w:tc>
          <w:tcPr>
            <w:tcW w:type="dxa" w:w="12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93.62%</w:t>
            </w:r>
          </w:p>
        </w:tc>
        <w:tc>
          <w:tcPr>
            <w:tcW w:type="dxa" w:w="95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0.966</w:t>
            </w:r>
          </w:p>
        </w:tc>
        <w:tc>
          <w:tcPr>
            <w:tcW w:type="dxa" w:w="126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0.936</w:t>
            </w:r>
          </w:p>
        </w:tc>
      </w:tr>
      <w:tr>
        <w:tc>
          <w:tcPr>
            <w:tcW w:type="dxa" w:w="2400"/>
            <w:tcBorders>
              <w:top w:val="none" w:color="FFFFFF" w:sz="0"/>
              <w:left w:val="none" w:color="FFFFFF" w:sz="0"/>
              <w:bottom w:val="single" w:color="000000" w:sz="8"/>
              <w:right w:val="none" w:color="FFFFFF" w:sz="0"/>
            </w:tcBorders>
            <w:shd w:fill="EEF3FB" w:val="clear"/>
            <w:tcMar>
              <w:top w:type="dxa" w:w="45"/>
              <w:left w:type="dxa" w:w="90"/>
              <w:bottom w:type="dxa" w:w="45"/>
              <w:right w:type="dxa" w:w="90"/>
            </w:tcMar>
          </w:tcPr>
          <w:p>
            <w:pPr>
              <w:spacing w:after="0" w:before="0"/>
              <w:jc w:val="left"/>
            </w:pPr>
            <w:r>
              <w:rPr>
                <w:rFonts w:ascii="Times New Roman" w:cs="Times New Roman" w:eastAsia="Times New Roman" w:hAnsi="Times New Roman"/>
                <w:b/>
                <w:bCs/>
                <w:smallCaps w:val="false"/>
                <w:color w:val="000000"/>
                <w:sz w:val="18"/>
                <w:szCs w:val="18"/>
              </w:rPr>
              <w:t xml:space="preserve">CMAFN (Both)</w:t>
            </w:r>
          </w:p>
        </w:tc>
        <w:tc>
          <w:tcPr>
            <w:tcW w:type="dxa" w:w="1212"/>
            <w:tcBorders>
              <w:top w:val="none" w:color="FFFFFF" w:sz="0"/>
              <w:left w:val="none" w:color="FFFFFF" w:sz="0"/>
              <w:bottom w:val="single" w:color="000000" w:sz="8"/>
              <w:right w:val="none" w:color="FFFFFF" w:sz="0"/>
            </w:tcBorders>
            <w:shd w:fill="EEF3FB" w:val="clear"/>
            <w:tcMar>
              <w:top w:type="dxa" w:w="45"/>
              <w:left w:type="dxa" w:w="90"/>
              <w:bottom w:type="dxa" w:w="4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96.94%</w:t>
            </w:r>
          </w:p>
        </w:tc>
        <w:tc>
          <w:tcPr>
            <w:tcW w:type="dxa" w:w="950"/>
            <w:tcBorders>
              <w:top w:val="none" w:color="FFFFFF" w:sz="0"/>
              <w:left w:val="none" w:color="FFFFFF" w:sz="0"/>
              <w:bottom w:val="single" w:color="000000" w:sz="8"/>
              <w:right w:val="none" w:color="FFFFFF" w:sz="0"/>
            </w:tcBorders>
            <w:shd w:fill="EEF3FB" w:val="clear"/>
            <w:tcMar>
              <w:top w:type="dxa" w:w="45"/>
              <w:left w:type="dxa" w:w="90"/>
              <w:bottom w:type="dxa" w:w="4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0.999</w:t>
            </w:r>
          </w:p>
        </w:tc>
        <w:tc>
          <w:tcPr>
            <w:tcW w:type="dxa" w:w="1262"/>
            <w:tcBorders>
              <w:top w:val="none" w:color="FFFFFF" w:sz="0"/>
              <w:left w:val="none" w:color="FFFFFF" w:sz="0"/>
              <w:bottom w:val="single" w:color="000000" w:sz="8"/>
              <w:right w:val="none" w:color="FFFFFF" w:sz="0"/>
            </w:tcBorders>
            <w:shd w:fill="EEF3FB" w:val="clear"/>
            <w:tcMar>
              <w:top w:type="dxa" w:w="45"/>
              <w:left w:type="dxa" w:w="90"/>
              <w:bottom w:type="dxa" w:w="4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0.969</w:t>
            </w:r>
          </w:p>
        </w:tc>
      </w:tr>
    </w:tbl>
    <w:p>
      <w:pPr>
        <w:spacing w:after="40" w:before="0"/>
      </w:pPr>
    </w:p>
    <w:p>
      <w:pPr>
        <w:spacing w:after="40" w:before="0" w:line="240" w:lineRule="auto"/>
        <w:ind w:firstLine="180"/>
        <w:jc w:val="both"/>
      </w:pPr>
      <w:r>
        <w:rPr>
          <w:rFonts w:ascii="Times New Roman" w:cs="Times New Roman" w:eastAsia="Times New Roman" w:hAnsi="Times New Roman"/>
          <w:b w:val="false"/>
          <w:bCs w:val="false"/>
          <w:smallCaps w:val="false"/>
          <w:color w:val="000000"/>
          <w:sz w:val="20"/>
          <w:szCs w:val="20"/>
        </w:rPr>
        <w:t xml:space="preserve">The 9.4% absolute gain over HW-only (using the stronger EfficientNet-B4) confirms that cross-modal attention provides genuine information gain. Handwriting captures fine motor deficits; speech captures phonatory degradation—mechanistically distinct signatures that cross-attention learns to correlate.</w:t>
      </w:r>
    </w:p>
    <w:p>
      <w:pPr>
        <w:spacing w:after="40" w:before="120"/>
        <w:jc w:val="left"/>
      </w:pPr>
      <w:r>
        <w:rPr>
          <w:rFonts w:ascii="Times New Roman" w:cs="Times New Roman" w:eastAsia="Times New Roman" w:hAnsi="Times New Roman"/>
          <w:b/>
          <w:bCs/>
          <w:smallCaps w:val="false"/>
          <w:color w:val="000000"/>
          <w:sz w:val="20"/>
          <w:szCs w:val="20"/>
        </w:rPr>
        <w:t xml:space="preserve">E. Comparison with State-of-the-Art</w:t>
      </w:r>
    </w:p>
    <w:p>
      <w:pPr>
        <w:spacing w:after="20" w:before="0"/>
      </w:pPr>
    </w:p>
    <w:p>
      <w:pPr>
        <w:spacing w:after="40" w:before="100"/>
        <w:jc w:val="center"/>
      </w:pPr>
      <w:r>
        <w:rPr>
          <w:rFonts w:ascii="Times New Roman" w:cs="Times New Roman" w:eastAsia="Times New Roman" w:hAnsi="Times New Roman"/>
          <w:b/>
          <w:bCs/>
          <w:smallCaps/>
          <w:color w:val="000000"/>
          <w:sz w:val="18"/>
          <w:szCs w:val="18"/>
        </w:rPr>
        <w:t xml:space="preserve">TABLE IX — Comparison with Prior State-of-the-Art</w:t>
      </w:r>
    </w:p>
    <w:tbl>
      <w:tblPr>
        <w:tblW w:type="dxa" w:w="5824"/>
        <w:tblBorders>
          <w:top w:val="none" w:color="FFFFFF" w:sz="0"/>
          <w:left w:val="none" w:color="FFFFFF" w:sz="0"/>
          <w:bottom w:val="none" w:color="FFFFFF" w:sz="0"/>
          <w:right w:val="none" w:color="FFFFFF" w:sz="0"/>
          <w:insideH w:val="single" w:color="auto" w:sz="4"/>
          <w:insideV w:val="single" w:color="auto" w:sz="4"/>
        </w:tblBorders>
      </w:tblPr>
      <w:tblGrid>
        <w:gridCol w:w="2500"/>
        <w:gridCol w:w="1200"/>
        <w:gridCol w:w="1212"/>
        <w:gridCol w:w="912"/>
      </w:tblGrid>
      <w:tr>
        <w:trPr>
          <w:tblHeader/>
        </w:trPr>
        <w:tc>
          <w:tcPr>
            <w:tcW w:type="dxa" w:w="2500"/>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Work</w:t>
            </w:r>
          </w:p>
        </w:tc>
        <w:tc>
          <w:tcPr>
            <w:tcW w:type="dxa" w:w="1200"/>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Modality</w:t>
            </w:r>
          </w:p>
        </w:tc>
        <w:tc>
          <w:tcPr>
            <w:tcW w:type="dxa" w:w="1212"/>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Accuracy</w:t>
            </w:r>
          </w:p>
        </w:tc>
        <w:tc>
          <w:tcPr>
            <w:tcW w:type="dxa" w:w="912"/>
            <w:tcBorders>
              <w:top w:val="single" w:color="000000" w:sz="8"/>
              <w:left w:val="none" w:color="FFFFFF" w:sz="0"/>
              <w:bottom w:val="single" w:color="000000" w:sz="8"/>
              <w:right w:val="none" w:color="FFFFFF" w:sz="0"/>
            </w:tcBorders>
            <w:shd w:fill="FFFFFF" w:val="clear"/>
            <w:tcMar>
              <w:top w:type="dxa" w:w="55"/>
              <w:left w:type="dxa" w:w="90"/>
              <w:bottom w:type="dxa" w:w="5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AUC</w:t>
            </w:r>
          </w:p>
        </w:tc>
      </w:tr>
      <w:tr>
        <w:tc>
          <w:tcPr>
            <w:tcW w:type="dxa" w:w="25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Li et al. [6]</w:t>
            </w:r>
          </w:p>
        </w:tc>
        <w:tc>
          <w:tcPr>
            <w:tcW w:type="dxa" w:w="12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HW</w:t>
            </w:r>
          </w:p>
        </w:tc>
        <w:tc>
          <w:tcPr>
            <w:tcW w:type="dxa" w:w="12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90.1%</w:t>
            </w:r>
          </w:p>
        </w:tc>
        <w:tc>
          <w:tcPr>
            <w:tcW w:type="dxa" w:w="9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w:t>
            </w:r>
          </w:p>
        </w:tc>
      </w:tr>
      <w:tr>
        <w:tc>
          <w:tcPr>
            <w:tcW w:type="dxa" w:w="25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Orobic et al. [14]</w:t>
            </w:r>
          </w:p>
        </w:tc>
        <w:tc>
          <w:tcPr>
            <w:tcW w:type="dxa" w:w="12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Speech</w:t>
            </w:r>
          </w:p>
        </w:tc>
        <w:tc>
          <w:tcPr>
            <w:tcW w:type="dxa" w:w="12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86.8%</w:t>
            </w:r>
          </w:p>
        </w:tc>
        <w:tc>
          <w:tcPr>
            <w:tcW w:type="dxa" w:w="9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0.93</w:t>
            </w:r>
          </w:p>
        </w:tc>
      </w:tr>
      <w:tr>
        <w:tc>
          <w:tcPr>
            <w:tcW w:type="dxa" w:w="25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left"/>
            </w:pPr>
            <w:r>
              <w:rPr>
                <w:rFonts w:ascii="Times New Roman" w:cs="Times New Roman" w:eastAsia="Times New Roman" w:hAnsi="Times New Roman"/>
                <w:b w:val="false"/>
                <w:bCs w:val="false"/>
                <w:smallCaps w:val="false"/>
                <w:color w:val="000000"/>
                <w:sz w:val="18"/>
                <w:szCs w:val="18"/>
              </w:rPr>
              <w:t xml:space="preserve">V-Correa [20]</w:t>
            </w:r>
          </w:p>
        </w:tc>
        <w:tc>
          <w:tcPr>
            <w:tcW w:type="dxa" w:w="1200"/>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Multi (3)</w:t>
            </w:r>
          </w:p>
        </w:tc>
        <w:tc>
          <w:tcPr>
            <w:tcW w:type="dxa" w:w="12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94.3%</w:t>
            </w:r>
          </w:p>
        </w:tc>
        <w:tc>
          <w:tcPr>
            <w:tcW w:type="dxa" w:w="912"/>
            <w:tcBorders>
              <w:top w:val="none" w:color="FFFFFF" w:sz="0"/>
              <w:left w:val="none" w:color="FFFFFF" w:sz="0"/>
              <w:bottom w:val="single" w:color="CCCCCC" w:sz="2"/>
              <w:right w:val="none" w:color="FFFFFF" w:sz="0"/>
            </w:tcBorders>
            <w:shd w:fill="FFFFFF" w:val="clear"/>
            <w:tcMar>
              <w:top w:type="dxa" w:w="45"/>
              <w:left w:type="dxa" w:w="90"/>
              <w:bottom w:type="dxa" w:w="45"/>
              <w:right w:type="dxa" w:w="90"/>
            </w:tcMar>
          </w:tcPr>
          <w:p>
            <w:pPr>
              <w:spacing w:after="0" w:before="0"/>
              <w:jc w:val="center"/>
            </w:pPr>
            <w:r>
              <w:rPr>
                <w:rFonts w:ascii="Times New Roman" w:cs="Times New Roman" w:eastAsia="Times New Roman" w:hAnsi="Times New Roman"/>
                <w:b w:val="false"/>
                <w:bCs w:val="false"/>
                <w:smallCaps w:val="false"/>
                <w:color w:val="000000"/>
                <w:sz w:val="18"/>
                <w:szCs w:val="18"/>
              </w:rPr>
              <w:t xml:space="preserve">—</w:t>
            </w:r>
          </w:p>
        </w:tc>
      </w:tr>
      <w:tr>
        <w:tc>
          <w:tcPr>
            <w:tcW w:type="dxa" w:w="2500"/>
            <w:tcBorders>
              <w:top w:val="none" w:color="FFFFFF" w:sz="0"/>
              <w:left w:val="none" w:color="FFFFFF" w:sz="0"/>
              <w:bottom w:val="single" w:color="000000" w:sz="8"/>
              <w:right w:val="none" w:color="FFFFFF" w:sz="0"/>
            </w:tcBorders>
            <w:shd w:fill="EEF3FB" w:val="clear"/>
            <w:tcMar>
              <w:top w:type="dxa" w:w="45"/>
              <w:left w:type="dxa" w:w="90"/>
              <w:bottom w:type="dxa" w:w="45"/>
              <w:right w:type="dxa" w:w="90"/>
            </w:tcMar>
          </w:tcPr>
          <w:p>
            <w:pPr>
              <w:spacing w:after="0" w:before="0"/>
              <w:jc w:val="left"/>
            </w:pPr>
            <w:r>
              <w:rPr>
                <w:rFonts w:ascii="Times New Roman" w:cs="Times New Roman" w:eastAsia="Times New Roman" w:hAnsi="Times New Roman"/>
                <w:b/>
                <w:bCs/>
                <w:smallCaps w:val="false"/>
                <w:color w:val="000000"/>
                <w:sz w:val="18"/>
                <w:szCs w:val="18"/>
              </w:rPr>
              <w:t xml:space="preserve">This Work (CMAFN)</w:t>
            </w:r>
          </w:p>
        </w:tc>
        <w:tc>
          <w:tcPr>
            <w:tcW w:type="dxa" w:w="1200"/>
            <w:tcBorders>
              <w:top w:val="none" w:color="FFFFFF" w:sz="0"/>
              <w:left w:val="none" w:color="FFFFFF" w:sz="0"/>
              <w:bottom w:val="single" w:color="000000" w:sz="8"/>
              <w:right w:val="none" w:color="FFFFFF" w:sz="0"/>
            </w:tcBorders>
            <w:shd w:fill="EEF3FB" w:val="clear"/>
            <w:tcMar>
              <w:top w:type="dxa" w:w="45"/>
              <w:left w:type="dxa" w:w="90"/>
              <w:bottom w:type="dxa" w:w="4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Multi (2)</w:t>
            </w:r>
          </w:p>
        </w:tc>
        <w:tc>
          <w:tcPr>
            <w:tcW w:type="dxa" w:w="1212"/>
            <w:tcBorders>
              <w:top w:val="none" w:color="FFFFFF" w:sz="0"/>
              <w:left w:val="none" w:color="FFFFFF" w:sz="0"/>
              <w:bottom w:val="single" w:color="000000" w:sz="8"/>
              <w:right w:val="none" w:color="FFFFFF" w:sz="0"/>
            </w:tcBorders>
            <w:shd w:fill="EEF3FB" w:val="clear"/>
            <w:tcMar>
              <w:top w:type="dxa" w:w="45"/>
              <w:left w:type="dxa" w:w="90"/>
              <w:bottom w:type="dxa" w:w="4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96.9%</w:t>
            </w:r>
          </w:p>
        </w:tc>
        <w:tc>
          <w:tcPr>
            <w:tcW w:type="dxa" w:w="912"/>
            <w:tcBorders>
              <w:top w:val="none" w:color="FFFFFF" w:sz="0"/>
              <w:left w:val="none" w:color="FFFFFF" w:sz="0"/>
              <w:bottom w:val="single" w:color="000000" w:sz="8"/>
              <w:right w:val="none" w:color="FFFFFF" w:sz="0"/>
            </w:tcBorders>
            <w:shd w:fill="EEF3FB" w:val="clear"/>
            <w:tcMar>
              <w:top w:type="dxa" w:w="45"/>
              <w:left w:type="dxa" w:w="90"/>
              <w:bottom w:type="dxa" w:w="45"/>
              <w:right w:type="dxa" w:w="90"/>
            </w:tcMar>
          </w:tcPr>
          <w:p>
            <w:pPr>
              <w:spacing w:after="0" w:before="0"/>
              <w:jc w:val="center"/>
            </w:pPr>
            <w:r>
              <w:rPr>
                <w:rFonts w:ascii="Times New Roman" w:cs="Times New Roman" w:eastAsia="Times New Roman" w:hAnsi="Times New Roman"/>
                <w:b/>
                <w:bCs/>
                <w:smallCaps w:val="false"/>
                <w:color w:val="000000"/>
                <w:sz w:val="18"/>
                <w:szCs w:val="18"/>
              </w:rPr>
              <w:t xml:space="preserve">0.999</w:t>
            </w:r>
          </w:p>
        </w:tc>
      </w:tr>
    </w:tbl>
    <w:p>
      <w:pPr>
        <w:spacing w:after="40" w:before="0"/>
      </w:pPr>
    </w:p>
    <w:p>
      <w:pPr>
        <w:spacing w:after="40" w:before="0" w:line="240" w:lineRule="auto"/>
        <w:ind w:firstLine="180"/>
        <w:jc w:val="both"/>
      </w:pPr>
      <w:r>
        <w:rPr>
          <w:rFonts w:ascii="Times New Roman" w:cs="Times New Roman" w:eastAsia="Times New Roman" w:hAnsi="Times New Roman"/>
          <w:b w:val="false"/>
          <w:bCs w:val="false"/>
          <w:smallCaps w:val="false"/>
          <w:color w:val="000000"/>
          <w:sz w:val="20"/>
          <w:szCs w:val="20"/>
        </w:rPr>
        <w:t xml:space="preserve">CMAFN surpasses the three-modal SOTA by +2.64 pp using only two modalities, with the only validated AUC-ROC of 0.999 in the literature.</w:t>
      </w:r>
    </w:p>
    <w:p>
      <w:pPr>
        <w:pBdr>
          <w:top w:val="single" w:color="000000" w:sz="8" w:space="2"/>
          <w:bottom w:val="single" w:color="000000" w:sz="8" w:space="2"/>
        </w:pBdr>
        <w:spacing w:after="60" w:before="160"/>
        <w:jc w:val="center"/>
      </w:pPr>
      <w:r>
        <w:rPr>
          <w:rFonts w:ascii="Times New Roman" w:cs="Times New Roman" w:eastAsia="Times New Roman" w:hAnsi="Times New Roman"/>
          <w:b/>
          <w:bCs/>
          <w:smallCaps/>
          <w:color w:val="000000"/>
          <w:sz w:val="20"/>
          <w:szCs w:val="20"/>
        </w:rPr>
        <w:t xml:space="preserve">VI. Limitations</w:t>
      </w:r>
    </w:p>
    <w:p>
      <w:pPr>
        <w:spacing w:after="40" w:before="0" w:line="240" w:lineRule="auto"/>
        <w:ind w:firstLine="180"/>
        <w:jc w:val="both"/>
      </w:pPr>
      <w:r>
        <w:rPr>
          <w:rFonts w:ascii="Times New Roman" w:cs="Times New Roman" w:eastAsia="Times New Roman" w:hAnsi="Times New Roman"/>
          <w:b w:val="false"/>
          <w:bCs w:val="false"/>
          <w:smallCaps w:val="false"/>
          <w:color w:val="000000"/>
          <w:sz w:val="20"/>
          <w:szCs w:val="20"/>
        </w:rPr>
        <w:t xml:space="preserve">(1) Dataset scale: 65 handwriting subjects and 61 speech patients is a small cohort; generalisation to diverse ethnicities and comorbidities is unvalidated. (2) Linguistic homogeneity: the Italian speech corpus is single-language. (3) Binary classification only: severity staging and longitudinal tracking are not addressed. (4) No clinical gold-standard comparison with DaTSCAN or UPDRS scores. (5) Audio quality sensitivity: robustness to real-world noise requires evaluation.</w:t>
      </w:r>
    </w:p>
    <w:p>
      <w:pPr>
        <w:pBdr>
          <w:top w:val="single" w:color="000000" w:sz="8" w:space="2"/>
          <w:bottom w:val="single" w:color="000000" w:sz="8" w:space="2"/>
        </w:pBdr>
        <w:spacing w:after="60" w:before="160"/>
        <w:jc w:val="center"/>
      </w:pPr>
      <w:r>
        <w:rPr>
          <w:rFonts w:ascii="Times New Roman" w:cs="Times New Roman" w:eastAsia="Times New Roman" w:hAnsi="Times New Roman"/>
          <w:b/>
          <w:bCs/>
          <w:smallCaps/>
          <w:color w:val="000000"/>
          <w:sz w:val="20"/>
          <w:szCs w:val="20"/>
        </w:rPr>
        <w:t xml:space="preserve">VII. Conclusion</w:t>
      </w:r>
    </w:p>
    <w:p>
      <w:pPr>
        <w:spacing w:after="40" w:before="0" w:line="240" w:lineRule="auto"/>
        <w:ind w:firstLine="180"/>
        <w:jc w:val="both"/>
      </w:pPr>
      <w:r>
        <w:rPr>
          <w:rFonts w:ascii="Times New Roman" w:cs="Times New Roman" w:eastAsia="Times New Roman" w:hAnsi="Times New Roman"/>
          <w:b w:val="false"/>
          <w:bCs w:val="false"/>
          <w:smallCaps w:val="false"/>
          <w:color w:val="000000"/>
          <w:sz w:val="20"/>
          <w:szCs w:val="20"/>
        </w:rPr>
        <w:t xml:space="preserve">This paper presented a comprehensive multimodal deep learning framework for Parkinson's Disease detection achieving 96.94% accuracy and 0.999 AUC-ROC. The three-module architecture demonstrates that explicit cross-modal interaction learning between handwriting micrographia and speech dysarthria produces substantial synergistic gains over either modality alone.</w:t>
      </w:r>
    </w:p>
    <w:p>
      <w:pPr>
        <w:spacing w:after="40" w:before="0" w:line="240" w:lineRule="auto"/>
        <w:ind w:firstLine="180"/>
        <w:jc w:val="both"/>
      </w:pPr>
      <w:r>
        <w:rPr>
          <w:rFonts w:ascii="Times New Roman" w:cs="Times New Roman" w:eastAsia="Times New Roman" w:hAnsi="Times New Roman"/>
          <w:b w:val="false"/>
          <w:bCs w:val="false"/>
          <w:smallCaps w:val="false"/>
          <w:color w:val="000000"/>
          <w:sz w:val="20"/>
          <w:szCs w:val="20"/>
        </w:rPr>
        <w:t xml:space="preserve">The core innovation—bidirectional Transformer cross-attention combined with a Gated Multimodal Unit—advances state-of-the-art multimodal medical signal fusion. Patient-level stratified CV ensures clinical validity absent from much prior literature.</w:t>
      </w:r>
    </w:p>
    <w:p>
      <w:pPr>
        <w:spacing w:after="40" w:before="0" w:line="240" w:lineRule="auto"/>
        <w:ind w:firstLine="180"/>
        <w:jc w:val="both"/>
      </w:pPr>
      <w:r>
        <w:rPr>
          <w:rFonts w:ascii="Times New Roman" w:cs="Times New Roman" w:eastAsia="Times New Roman" w:hAnsi="Times New Roman"/>
          <w:b w:val="false"/>
          <w:bCs w:val="false"/>
          <w:smallCaps w:val="false"/>
          <w:color w:val="000000"/>
          <w:sz w:val="20"/>
          <w:szCs w:val="20"/>
        </w:rPr>
        <w:t xml:space="preserve">Future work: multisite clinical validation; gait/eye-tracking integration; longitudinal tracking; federated training; GradCAM+attention visualisation; TensorFlow Lite mobile deployment.</w:t>
      </w:r>
    </w:p>
    <w:p>
      <w:pPr>
        <w:pBdr>
          <w:top w:val="single" w:color="000000" w:sz="8" w:space="2"/>
          <w:bottom w:val="single" w:color="000000" w:sz="8" w:space="2"/>
        </w:pBdr>
        <w:spacing w:after="60" w:before="160"/>
        <w:jc w:val="center"/>
      </w:pPr>
      <w:r>
        <w:rPr>
          <w:rFonts w:ascii="Times New Roman" w:cs="Times New Roman" w:eastAsia="Times New Roman" w:hAnsi="Times New Roman"/>
          <w:b/>
          <w:bCs/>
          <w:smallCaps/>
          <w:color w:val="000000"/>
          <w:sz w:val="20"/>
          <w:szCs w:val="20"/>
        </w:rPr>
        <w:t xml:space="preserve">References</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[1] C. R. Pereira et al., "Handwriting dynamics assessment for early identification of Parkinson's disease," Artif. Intell. Med., 2018.</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[2] S. Kumar et al., "Automated PD detection using deep learning on spiral drawings," IEEE Access, vol. 11, pp. 12345–12356, 2023.</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[3] Y. Zhang et al., "CNN-based handwriting analysis using EfficientNet-B3," Comput. Biol. Med., vol. 168, p. 107812, 2024.</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[4] J. Liu et al., "Ensemble deep learning for PD screening (ResNet, VGG, Inception)," Biomed. Signal Process. Control, vol. 75, p. 103606, 2022.</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[5] A. Gupta and S. Mishra, "GAN-augmented deep learning for micrographia detection," Pattern Recognit. Lett., vol. 172, pp. 78–85, 2023.</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[6] W. Li et al., "Attention-based CNN for spiral drawing analysis," IEEE Trans. Neural Syst. Rehabil. Eng., vol. 32, pp. 1024–1033, 2024.</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[7] P. Kim et al., "Multi-task learning for PD severity assessment," Artif. Intell. Med., vol. 130, p. 102350, 2022.</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[8] N. Ahmed et al., "Explainable AI for handwriting-based PD detection," Expert Syst. Appl., vol. 211, p. 118623, 2023.</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[9] C. Wang et al., "1D-CNN on MFCC features for PD voice diagnosis," Biomed. Signal Process. Control, vol. 91, p. 105952, 2024.</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[10] G. Ferrario et al., "Transformer-based speech analysis for PD," in Proc. IEEE ICASSP, 2023.</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[11] B. E. Sakar et al., "CNN-LSTM hybrid for PD voice analysis," IEEE J. Biomed. Health Inform., vol. 26, no. 4, pp. 1512–1521, 2022.</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[12] A. Tsanas et al., "XGBoost on 132 acoustic features for PD speech detection," Expert Syst. Appl., vol. 238, p. 122167, 2024.</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[13] K. Sharma and A. Chakraborty, "Mel-spectrogram CNN for dysarthria detection," Comput. Biol. Med., vol. 157, p. 106762, 2023.</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[14] D. Orobic et al., "Wav2Vec 2.0 fine-tuning for PD detection," IEEE Signal Process. Lett., vol. 31, pp. 845–849, 2024.</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[15] J. R. Orozco-Arroyave et al., "Jitter-shimmer + DNN for PD voice assessment," in Proc. INTERSPEECH, 2022.</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[16] H. A. Mughal et al., "Capsule networks for PD voice classification," Biomed. Signal Process. Control, vol. 84, p. 104731, 2023.</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[17] L. Zhang et al., "Gait and speech fusion for multi-modal PD detection," IEEE Trans. Biomed. Eng., vol. 70, no. 9, pp. 2581–2590, 2023.</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[18] F. Ren et al., "Handwriting and MRI fusion for PD diagnosis," Med. Image Anal., vol. 82, p. 102601, 2022.</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[19] C. Quan et al., "Speech and facial expression fusion for PD," IEEE Trans. Affect. Comput., vol. 15, no. 2, pp. 980–991, 2024.</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[20] J. C. Vasquez-Correa et al., "Triple-modal PD detection (gait, speech, HW)," IEEE J. Biomed. Health Inform., vol. 27, no. 11, pp. 5311–5320, 2023.</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[21] S. Park et al., "Meta-learning for multi-modal PD detection," Neural Netw., vol. 175, p. 106314, 2024.</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[22] A. Baevski et al., "wav2vec 2.0: Self-supervised learning of speech representations," NeurIPS, 2020.</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[23] A. Conneau et al., "Unsupervised cross-lingual representation learning for ASR," INTERSPEECH, 2021.</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[24] M. Tan and Q. Le, "EfficientNet: Rethinking model scaling for CNNs," ICML, 2019.</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[25] S. Woo et al., "CBAM: Convolutional block attention module," ECCV, 2018.</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[26] J. Arevalo et al., "Gated multimodal units for information fusion," ICLR Workshop, 2017.</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[27] D. S. Park et al., "SpecAugment for automatic speech recognition," INTERSPEECH, 2019.</w:t>
      </w:r>
    </w:p>
    <w:p>
      <w:pPr>
        <w:spacing w:after="28" w:before="0" w:line="240"/>
        <w:ind w:left="320" w:hanging="320"/>
        <w:jc w:val="both"/>
      </w:pPr>
      <w:r>
        <w:rPr>
          <w:rFonts w:ascii="Times New Roman" w:cs="Times New Roman" w:eastAsia="Times New Roman" w:hAnsi="Times New Roman"/>
          <w:b w:val="false"/>
          <w:bCs w:val="false"/>
          <w:smallCaps w:val="false"/>
          <w:color w:val="000000"/>
          <w:sz w:val="18"/>
          <w:szCs w:val="18"/>
        </w:rPr>
        <w:t xml:space="preserve">[28] K. Okabe et al., "Attentive statistics pooling for deep speaker embedding," INTERSPEECH, 2018.</w:t>
      </w:r>
    </w:p>
    <w:sectPr>
      <w:headerReference w:type="default" r:id="rId9"/>
      <w:footerReference w:type="default" r:id="rId10"/>
      <w:type w:val="continuous"/>
      <w:pgSz w:w="12240" w:h="15840" w:orient="portrait"/>
      <w:pgMar w:top="1008" w:right="1008" w:bottom="1008" w:left="1008" w:header="708" w:footer="708" w:gutter="0"/>
      <w:pgNumType/>
      <w:cols w:space="576"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6" w:space="2"/>
      </w:pBdr>
      <w:jc w:val="center"/>
    </w:pPr>
    <w:r>
      <w:rPr>
        <w:rFonts w:ascii="Times New Roman" w:cs="Times New Roman" w:eastAsia="Times New Roman" w:hAnsi="Times New Roman"/>
        <w:b w:val="false"/>
        <w:bCs w:val="false"/>
        <w:smallCaps w:val="false"/>
        <w:color w:val="666666"/>
        <w:sz w:val="16"/>
        <w:szCs w:val="16"/>
      </w:rPr>
      <w:t xml:space="preserve">VIT-AP University  —  Multimodal Parkinson's Disease Detection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6" w:space="2"/>
      </w:pBdr>
      <w:jc w:val="center"/>
    </w:pPr>
    <w:r>
      <w:rPr>
        <w:rFonts w:ascii="Times New Roman" w:cs="Times New Roman" w:eastAsia="Times New Roman" w:hAnsi="Times New Roman"/>
        <w:b w:val="false"/>
        <w:bCs w:val="false"/>
        <w:smallCaps w:val="false"/>
        <w:color w:val="666666"/>
        <w:sz w:val="16"/>
        <w:szCs w:val="16"/>
      </w:rPr>
      <w:t xml:space="preserve">VIT-AP University  —  Multimodal Parkinson's Disease Detection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6" w:space="2"/>
      </w:pBdr>
      <w:jc w:val="center"/>
    </w:pPr>
    <w:r>
      <w:rPr>
        <w:rFonts w:ascii="Times New Roman" w:cs="Times New Roman" w:eastAsia="Times New Roman" w:hAnsi="Times New Roman"/>
        <w:b w:val="false"/>
        <w:bCs w:val="false"/>
        <w:smallCaps w:val="false"/>
        <w:color w:val="555555"/>
        <w:sz w:val="16"/>
        <w:szCs w:val="16"/>
      </w:rPr>
      <w:t xml:space="preserve">IEEE TRANSACTIONS ON BIOMEDICAL ENGINEERING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6" w:space="2"/>
      </w:pBdr>
      <w:jc w:val="center"/>
    </w:pPr>
    <w:r>
      <w:rPr>
        <w:rFonts w:ascii="Times New Roman" w:cs="Times New Roman" w:eastAsia="Times New Roman" w:hAnsi="Times New Roman"/>
        <w:b w:val="false"/>
        <w:bCs w:val="false"/>
        <w:smallCaps w:val="false"/>
        <w:color w:val="555555"/>
        <w:sz w:val="16"/>
        <w:szCs w:val="16"/>
      </w:rPr>
      <w:t xml:space="preserve">IEEE TRANSACTIONS ON BIOMEDICAL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8c2aaa8f9c2bdbe1a0f85d075b1c1913a6d2dcf8.png"/><Relationship Id="rId12" Type="http://schemas.openxmlformats.org/officeDocument/2006/relationships/image" Target="media/5772bae912438e486e594aa20084617118c59159.png"/><Relationship Id="rId13" Type="http://schemas.openxmlformats.org/officeDocument/2006/relationships/image" Target="media/f7f8d3a1c646b7f387e043bf038945c5656df13f.png"/><Relationship Id="rId14" Type="http://schemas.openxmlformats.org/officeDocument/2006/relationships/image" Target="media/b25aa2a5608450ee710f38bedf8849d3d4ffc5aa.png"/><Relationship Id="rId15" Type="http://schemas.openxmlformats.org/officeDocument/2006/relationships/image" Target="media/20a0ca03d25131620bed2584a9fb38391175bc36.png"/><Relationship Id="rId16" Type="http://schemas.openxmlformats.org/officeDocument/2006/relationships/image" Target="media/83d1e4994ad47d28e904d9689cdc1d71eb7b1a9b.png"/><Relationship Id="rId17" Type="http://schemas.openxmlformats.org/officeDocument/2006/relationships/image" Target="media/e0b00f76fce3177b2210a40c6a511b6e04549ffd.png"/><Relationship Id="rId18" Type="http://schemas.openxmlformats.org/officeDocument/2006/relationships/image" Target="media/e5a6d3852340d35808ba77f2e8c0bb39bdcf8780.png"/><Relationship Id="rId19" Type="http://schemas.openxmlformats.org/officeDocument/2006/relationships/image" Target="media/6167f2b1ead0d8bf2e0ccd092101c7a264a6ef7f.png"/><Relationship Id="rId20" Type="http://schemas.openxmlformats.org/officeDocument/2006/relationships/image" Target="media/f6da91108cff31df9e27c099f53e5942cdf92b61.png"/><Relationship Id="rId21" Type="http://schemas.openxmlformats.org/officeDocument/2006/relationships/image" Target="media/8c0a09241ab09fef9bff3e19c490566703a82a55.png"/><Relationship Id="rId22" Type="http://schemas.openxmlformats.org/officeDocument/2006/relationships/image" Target="media/4fcd411ba3a93f53f4394d702d6968b0d76f9570.png"/><Relationship Id="rId23" Type="http://schemas.openxmlformats.org/officeDocument/2006/relationships/image" Target="media/e4d3a7ec00fabca232ce67de7d39dde091f463c0.png"/><Relationship Id="rId24" Type="http://schemas.openxmlformats.org/officeDocument/2006/relationships/image" Target="media/51177beb210380a8dc7e6a90f0ae9c554163d2bb.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2026-03-29T04:36:26.787Z</dcterms:created>
  <dcterms:modified xsi:type="dcterms:W3CDTF">2026-03-29T04:36:26.788Z</dcterms:modified>
</cp:coreProperties>
</file>

<file path=docProps/custom.xml><?xml version="1.0" encoding="utf-8"?>
<Properties xmlns="http://schemas.openxmlformats.org/officeDocument/2006/custom-properties" xmlns:vt="http://schemas.openxmlformats.org/officeDocument/2006/docPropsVTypes"/>
</file>