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конкуренции двух фирм.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для случая, когда конкурентная борьба ведётся только рыночными методами.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для случая, когда, помимо экономического фактора влияния, используются еще и социально-психологические факторы.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отсутствуют.</w:t>
      </w:r>
      <w:r>
        <w:t xml:space="preserve"> </w:t>
      </w:r>
      <w:r>
        <w:t xml:space="preserve">Обозначим: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w:r>
        <w:t xml:space="preserve">S – доходы потребителей данного продукта. Считаем, что доходы всех</w:t>
      </w:r>
      <w:r>
        <w:t xml:space="preserve"> </w:t>
      </w:r>
      <w:r>
        <w:t xml:space="preserve">потребителей одинаковы. Это предположение справедливо, если речь идет об</w:t>
      </w:r>
      <w:r>
        <w:t xml:space="preserve"> </w:t>
      </w:r>
      <w:r>
        <w:t xml:space="preserve">одной рыночной нише, т.е. производимый продукт ориентирован на определенный</w:t>
      </w:r>
      <w:r>
        <w:t xml:space="preserve"> </w:t>
      </w:r>
      <w:r>
        <w:t xml:space="preserve">слой населения.</w:t>
      </w:r>
    </w:p>
    <w:p>
      <w:pPr>
        <w:pStyle w:val="BodyText"/>
      </w:pPr>
      <w:r>
        <w:t xml:space="preserve">M – оборотные средства предприятия</w:t>
      </w:r>
    </w:p>
    <w:p>
      <w:pPr>
        <w:pStyle w:val="BodyText"/>
      </w:pPr>
      <w:r>
        <w:t xml:space="preserve">τ – длительность производственного цикла</w:t>
      </w:r>
    </w:p>
    <w:p>
      <w:pPr>
        <w:pStyle w:val="BodyText"/>
      </w:pPr>
      <w:r>
        <w:t xml:space="preserve">p – рыночная цена товара</w:t>
      </w:r>
    </w:p>
    <w:p>
      <w:pPr>
        <w:pStyle w:val="BodyText"/>
      </w:pPr>
      <w:r>
        <w:t xml:space="preserve">p̃ – себестоимость продукта, то есть переменные издержки на производство</w:t>
      </w:r>
      <w:r>
        <w:t xml:space="preserve"> </w:t>
      </w:r>
      <w:r>
        <w:t xml:space="preserve">единицы продукции.</w:t>
      </w:r>
    </w:p>
    <w:p>
      <w:pPr>
        <w:pStyle w:val="BodyText"/>
      </w:pPr>
      <w:r>
        <w:t xml:space="preserve">δ – доля оборотных средств, идущая на покрытие переменных издержек.</w:t>
      </w:r>
    </w:p>
    <w:p>
      <w:pPr>
        <w:pStyle w:val="BodyText"/>
      </w:pPr>
      <w:r>
        <w:t xml:space="preserve">κ 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И построим дифференциальное уравнение: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r>
          <m:t>M</m:t>
        </m:r>
        <m:f>
          <m:fPr>
            <m:type m:val="bar"/>
          </m:fPr>
          <m:num>
            <m:r>
              <m:t>δ</m:t>
            </m:r>
          </m:num>
          <m:den>
            <m:r>
              <m:t>τ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num>
              <m:den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δ</m:t>
                    </m:r>
                  </m:num>
                  <m:den>
                    <m:r>
                      <m:t>τ</m:t>
                    </m:r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den>
                </m:f>
              </m:e>
            </m:d>
          </m:e>
          <m:sup>
            <m:r>
              <m:t>2</m:t>
            </m:r>
          </m:sup>
        </m:sSup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r>
              <m:t>N</m:t>
            </m:r>
            <m:r>
              <m:t>q</m:t>
            </m:r>
          </m:den>
        </m:f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w:r>
        <w:t xml:space="preserve">Подробнее см. в [1]</w:t>
      </w:r>
    </w:p>
    <w:bookmarkEnd w:id="22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Опишем начальные значения согласно варианту 8 и инициализируем необходимые коэффициенты на языке Julia (fig. 1).</w:t>
      </w:r>
    </w:p>
    <w:p>
      <w:pPr>
        <w:pStyle w:val="CaptionedFigure"/>
      </w:pPr>
      <w:r>
        <w:drawing>
          <wp:inline>
            <wp:extent cx="4800600" cy="2103332"/>
            <wp:effectExtent b="0" l="0" r="0" t="0"/>
            <wp:docPr descr="Начальные значения на языке Julia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0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значения на языке Julia</w:t>
      </w:r>
    </w:p>
    <w:p>
      <w:pPr>
        <w:numPr>
          <w:ilvl w:val="0"/>
          <w:numId w:val="1003"/>
        </w:numPr>
        <w:pStyle w:val="Compact"/>
      </w:pPr>
      <w:r>
        <w:t xml:space="preserve">Опишем соответсвующую систему дифференциальных уравнений для первого случая, когда конкурентная борьба ведётся только рыночными методами. (fig. 2).</w:t>
      </w:r>
    </w:p>
    <w:p>
      <w:pPr>
        <w:pStyle w:val="CaptionedFigure"/>
      </w:pPr>
      <w:r>
        <w:drawing>
          <wp:inline>
            <wp:extent cx="4800600" cy="1041028"/>
            <wp:effectExtent b="0" l="0" r="0" t="0"/>
            <wp:docPr descr="Система дифференциальных уравнений для первого случая на языке Julia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4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Система дифференциальных уравнений для первого случая на языке Julia</w:t>
      </w:r>
    </w:p>
    <w:p>
      <w:pPr>
        <w:numPr>
          <w:ilvl w:val="0"/>
          <w:numId w:val="1004"/>
        </w:numPr>
        <w:pStyle w:val="Compact"/>
      </w:pPr>
      <w:r>
        <w:t xml:space="preserve">Получим решение системы дифференциальных уравнений (fig. 3).</w:t>
      </w:r>
    </w:p>
    <w:p>
      <w:pPr>
        <w:pStyle w:val="CaptionedFigure"/>
      </w:pPr>
      <w:r>
        <w:drawing>
          <wp:inline>
            <wp:extent cx="3903489" cy="1951744"/>
            <wp:effectExtent b="0" l="0" r="0" t="0"/>
            <wp:docPr descr="Решение системы дифференциальных уравнений для первого случая на языке Julia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195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Решение системы дифференциальных уравнений для первого случая на языке Julia</w:t>
      </w:r>
    </w:p>
    <w:p>
      <w:pPr>
        <w:numPr>
          <w:ilvl w:val="0"/>
          <w:numId w:val="1005"/>
        </w:numPr>
        <w:pStyle w:val="Compact"/>
      </w:pPr>
      <w:r>
        <w:t xml:space="preserve">Построим графики изменения оборотных средств для двух фирм (fig. 4 - fig. 5).</w:t>
      </w:r>
    </w:p>
    <w:p>
      <w:pPr>
        <w:pStyle w:val="CaptionedFigure"/>
      </w:pPr>
      <w:r>
        <w:drawing>
          <wp:inline>
            <wp:extent cx="4587368" cy="4717996"/>
            <wp:effectExtent b="0" l="0" r="0" t="0"/>
            <wp:docPr descr="Построение графиков изменения оборотных средств для двух фирм на языке Julia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471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Построение графиков изменения оборотных средств для двух фирм на языке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Графики изменения оборотных средств для двух фирм, построенные на Julia, для случая, когда конкурентная борьба ведётся только рыночными методами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Графики изменения оборотных средств для двух фирм, построенные на Julia, для случая, когда конкурентная борьба ведётся только рыночными методами</w:t>
      </w:r>
    </w:p>
    <w:p>
      <w:pPr>
        <w:numPr>
          <w:ilvl w:val="0"/>
          <w:numId w:val="1006"/>
        </w:numPr>
        <w:pStyle w:val="Compact"/>
      </w:pPr>
      <w:r>
        <w:t xml:space="preserve">Изменим систему дифференциальных уравнений для второго случая, когда, помимо экономического фактора влияния, используются еще и социально-психологические факторы (fig. 6).</w:t>
      </w:r>
    </w:p>
    <w:p>
      <w:pPr>
        <w:pStyle w:val="CaptionedFigure"/>
      </w:pPr>
      <w:r>
        <w:drawing>
          <wp:inline>
            <wp:extent cx="4800600" cy="957032"/>
            <wp:effectExtent b="0" l="0" r="0" t="0"/>
            <wp:docPr descr="Система дифференциальных уравнений для второго случая на языке Julia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5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Система дифференциальных уравнений для второго случая на языке Julia</w:t>
      </w:r>
    </w:p>
    <w:p>
      <w:pPr>
        <w:numPr>
          <w:ilvl w:val="0"/>
          <w:numId w:val="1007"/>
        </w:numPr>
        <w:pStyle w:val="Compact"/>
      </w:pPr>
      <w:r>
        <w:t xml:space="preserve">По аналогии с предыдущим построением получим получим графики для второго случая (fig. 7).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Графики изменения оборотных средств для двух фирм, построенные на Julia, для случая, когда, помимо экономического фактора влияния, используются еще и социально-психологические факторы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Графики изменения оборотных средств для двух фирм, построенные на Julia, для случая, когда, помимо экономического фактора влияния, используются еще и социально-психологические факторы</w:t>
      </w:r>
    </w:p>
    <w:p>
      <w:pPr>
        <w:numPr>
          <w:ilvl w:val="0"/>
          <w:numId w:val="1008"/>
        </w:numPr>
        <w:pStyle w:val="Compact"/>
      </w:pPr>
      <w:r>
        <w:t xml:space="preserve">Построим модель для первого случая на языке OpenModelica (fig. 8).</w:t>
      </w:r>
    </w:p>
    <w:p>
      <w:pPr>
        <w:pStyle w:val="CaptionedFigure"/>
      </w:pPr>
      <w:r>
        <w:drawing>
          <wp:inline>
            <wp:extent cx="4800600" cy="2749858"/>
            <wp:effectExtent b="0" l="0" r="0" t="0"/>
            <wp:docPr descr="Построение модели для первого случая на языке OpenModelica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Построение модели для первого случая на языке OpenModelica</w:t>
      </w:r>
    </w:p>
    <w:p>
      <w:pPr>
        <w:numPr>
          <w:ilvl w:val="0"/>
          <w:numId w:val="1009"/>
        </w:numPr>
        <w:pStyle w:val="Compact"/>
      </w:pPr>
      <w:r>
        <w:t xml:space="preserve">Построим графики изменения оборотных средств для двух фирм (fig. 9).</w:t>
      </w:r>
    </w:p>
    <w:p>
      <w:pPr>
        <w:pStyle w:val="CaptionedFigure"/>
      </w:pPr>
      <w:r>
        <w:drawing>
          <wp:inline>
            <wp:extent cx="4800600" cy="2578716"/>
            <wp:effectExtent b="0" l="0" r="0" t="0"/>
            <wp:docPr descr="Графики изменения оборотных средств для двух фирм, построенные на OpenModelica, для случая, когда конкурентная борьба ведётся только рыночными методами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Графики изменения оборотных средств для двух фирм, построенные на OpenModelica, для случая, когда конкурентная борьба ведётся только рыночными методами</w:t>
      </w:r>
    </w:p>
    <w:p>
      <w:pPr>
        <w:numPr>
          <w:ilvl w:val="0"/>
          <w:numId w:val="1010"/>
        </w:numPr>
        <w:pStyle w:val="Compact"/>
      </w:pPr>
      <w:r>
        <w:t xml:space="preserve">Для второго случая, когда, помимо экономического фактора влияния, используются еще и социально-психологические факторы, изменим систему дифференциальных уравнений (fig. 10).</w:t>
      </w:r>
    </w:p>
    <w:p>
      <w:pPr>
        <w:pStyle w:val="CaptionedFigure"/>
      </w:pPr>
      <w:r>
        <w:drawing>
          <wp:inline>
            <wp:extent cx="4800600" cy="2783409"/>
            <wp:effectExtent b="0" l="0" r="0" t="0"/>
            <wp:docPr descr="Построение модели для второго случая на языке OpenModelica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8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Построение модели для второго случая на языке OpenModelica</w:t>
      </w:r>
    </w:p>
    <w:p>
      <w:pPr>
        <w:numPr>
          <w:ilvl w:val="0"/>
          <w:numId w:val="1011"/>
        </w:numPr>
        <w:pStyle w:val="Compact"/>
      </w:pPr>
      <w:r>
        <w:t xml:space="preserve">Построим графики для второго случая (fig. 11).</w:t>
      </w:r>
    </w:p>
    <w:p>
      <w:pPr>
        <w:pStyle w:val="CaptionedFigure"/>
      </w:pPr>
      <w:r>
        <w:drawing>
          <wp:inline>
            <wp:extent cx="4800600" cy="2578716"/>
            <wp:effectExtent b="0" l="0" r="0" t="0"/>
            <wp:docPr descr="Графики изменения оборотных средств для двух фирм, построенные на OpenModelica, для случая, когда, помимо экономического фактора влияния, используются еще и социально-психологические факторы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Графики изменения оборотных средств для двух фирм, построенные на OpenModelica, для случая, когда, помимо экономического фактора влияния, используются еще и социально-психологические факторы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 Построение модели конкуренции двух фирм на языке OpenModelica занимает значительно меньше строк, чем аналогичное построение на Julia.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Руководство к лабораторной работе: https://esystem.rudn.ru/pluginfile.php/1971672/mod_resource/content/2/%D0%9B%D0%B0%D0%B1%D0%BE%D1%80%D0%B0%D1%82%D0%BE%D1%80%D0%BD%D0%B0%D1%8F%20%D1%80%D0%B0%D0%B1%D0%BE%D1%82%D0%B0%20%E2%84%96%207.pdf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Тарусов Артём Сергеевич</dc:creator>
  <dc:language>ru-RU</dc:language>
  <cp:keywords/>
  <dcterms:created xsi:type="dcterms:W3CDTF">2023-03-26T12:03:27Z</dcterms:created>
  <dcterms:modified xsi:type="dcterms:W3CDTF">2023-03-26T12:03:27Z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