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Тарусов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Настроить и запустить сервер Apache.</w:t>
      </w:r>
    </w:p>
    <w:p>
      <w:pPr>
        <w:numPr>
          <w:ilvl w:val="0"/>
          <w:numId w:val="1001"/>
        </w:numPr>
      </w:pPr>
      <w:r>
        <w:t xml:space="preserve">Исследовать влияние параметров сервера на его работу.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 [1].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2"/>
    <w:bookmarkStart w:id="9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Войдем в систему с полученными учётными данными и убедимся, что</w:t>
      </w:r>
      <w:r>
        <w:t xml:space="preserve"> </w:t>
      </w:r>
      <w:r>
        <w:t xml:space="preserve">SELinux работает в режиме enforcing политики targeted (fig. 1).</w:t>
      </w:r>
    </w:p>
    <w:p>
      <w:pPr>
        <w:pStyle w:val="CaptionedFigure"/>
      </w:pPr>
      <w:r>
        <w:drawing>
          <wp:inline>
            <wp:extent cx="3004457" cy="1713539"/>
            <wp:effectExtent b="0" l="0" r="0" t="0"/>
            <wp:docPr descr="Конфигурация SELinux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171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Конфигурация SELinux</w:t>
      </w:r>
    </w:p>
    <w:p>
      <w:pPr>
        <w:numPr>
          <w:ilvl w:val="0"/>
          <w:numId w:val="1004"/>
        </w:numPr>
        <w:pStyle w:val="Compact"/>
      </w:pPr>
      <w:r>
        <w:t xml:space="preserve">Обратимся с помощью браузера к веб-серверу, запущенному на нашем</w:t>
      </w:r>
      <w:r>
        <w:t xml:space="preserve"> </w:t>
      </w:r>
      <w:r>
        <w:t xml:space="preserve">компьютере, и убедимся, что последний работает (fig. 2).</w:t>
      </w:r>
    </w:p>
    <w:p>
      <w:pPr>
        <w:pStyle w:val="CaptionedFigure"/>
      </w:pPr>
      <w:r>
        <w:drawing>
          <wp:inline>
            <wp:extent cx="4800600" cy="2686699"/>
            <wp:effectExtent b="0" l="0" r="0" t="0"/>
            <wp:docPr descr="Обращение к веб-серверу" title="" id="27" name="Picture"/>
            <a:graphic>
              <a:graphicData uri="http://schemas.openxmlformats.org/drawingml/2006/picture">
                <pic:pic>
                  <pic:nvPicPr>
                    <pic:cNvPr descr="image/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8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Обращение к веб-серверу</w:t>
      </w:r>
    </w:p>
    <w:p>
      <w:pPr>
        <w:numPr>
          <w:ilvl w:val="0"/>
          <w:numId w:val="1005"/>
        </w:numPr>
        <w:pStyle w:val="Compact"/>
      </w:pPr>
      <w:r>
        <w:t xml:space="preserve">Найдем веб-сервер Apache в списке процессов, определим его контекст</w:t>
      </w:r>
      <w:r>
        <w:t xml:space="preserve"> </w:t>
      </w:r>
      <w:r>
        <w:t xml:space="preserve">безопасности (fig. 3).</w:t>
      </w:r>
    </w:p>
    <w:p>
      <w:pPr>
        <w:pStyle w:val="CaptionedFigure"/>
      </w:pPr>
      <w:r>
        <w:drawing>
          <wp:inline>
            <wp:extent cx="4800600" cy="1137920"/>
            <wp:effectExtent b="0" l="0" r="0" t="0"/>
            <wp:docPr descr="Контекст безопасности веб-сервера Apache" title="" id="30" name="Picture"/>
            <a:graphic>
              <a:graphicData uri="http://schemas.openxmlformats.org/drawingml/2006/picture">
                <pic:pic>
                  <pic:nvPicPr>
                    <pic:cNvPr descr="image/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Контекст безопасности веб-сервера Apache</w:t>
      </w:r>
    </w:p>
    <w:p>
      <w:pPr>
        <w:numPr>
          <w:ilvl w:val="0"/>
          <w:numId w:val="1006"/>
        </w:numPr>
        <w:pStyle w:val="Compact"/>
      </w:pPr>
      <w:r>
        <w:t xml:space="preserve">Посмотрим текущее состояние переключателей SELinux для Apache (fig. 4).</w:t>
      </w:r>
    </w:p>
    <w:p>
      <w:pPr>
        <w:pStyle w:val="CaptionedFigure"/>
      </w:pPr>
      <w:r>
        <w:drawing>
          <wp:inline>
            <wp:extent cx="4800600" cy="3930555"/>
            <wp:effectExtent b="0" l="0" r="0" t="0"/>
            <wp:docPr descr="Текущее состояние переключателей SELinux для Apache" title="" id="33" name="Picture"/>
            <a:graphic>
              <a:graphicData uri="http://schemas.openxmlformats.org/drawingml/2006/picture">
                <pic:pic>
                  <pic:nvPicPr>
                    <pic:cNvPr descr="image/screenshot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3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Текущее состояние переключателей SELinux для Apache</w:t>
      </w:r>
    </w:p>
    <w:p>
      <w:pPr>
        <w:numPr>
          <w:ilvl w:val="0"/>
          <w:numId w:val="1007"/>
        </w:numPr>
        <w:pStyle w:val="Compact"/>
      </w:pPr>
      <w:r>
        <w:t xml:space="preserve">Посмотрим статистику по политике с помощью команды seinfo (fig. 5).</w:t>
      </w:r>
    </w:p>
    <w:p>
      <w:pPr>
        <w:pStyle w:val="CaptionedFigure"/>
      </w:pPr>
      <w:r>
        <w:drawing>
          <wp:inline>
            <wp:extent cx="3411710" cy="3296450"/>
            <wp:effectExtent b="0" l="0" r="0" t="0"/>
            <wp:docPr descr="Статистика по политике" title="" id="36" name="Picture"/>
            <a:graphic>
              <a:graphicData uri="http://schemas.openxmlformats.org/drawingml/2006/picture">
                <pic:pic>
                  <pic:nvPicPr>
                    <pic:cNvPr descr="image/screenshot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10" cy="329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Статистика по политике</w:t>
      </w:r>
    </w:p>
    <w:p>
      <w:pPr>
        <w:numPr>
          <w:ilvl w:val="0"/>
          <w:numId w:val="1008"/>
        </w:numPr>
        <w:pStyle w:val="Compact"/>
      </w:pPr>
      <w:r>
        <w:t xml:space="preserve">Определим тип файлов и поддиректорий, находящихся в директории</w:t>
      </w:r>
      <w:r>
        <w:t xml:space="preserve"> </w:t>
      </w:r>
      <w:r>
        <w:t xml:space="preserve">/var/www (fig. 6).</w:t>
      </w:r>
    </w:p>
    <w:p>
      <w:pPr>
        <w:pStyle w:val="CaptionedFigure"/>
      </w:pPr>
      <w:r>
        <w:drawing>
          <wp:inline>
            <wp:extent cx="4800600" cy="464363"/>
            <wp:effectExtent b="0" l="0" r="0" t="0"/>
            <wp:docPr descr="Тип файлов и поддиректорий, находящихся в директории /var/www" title="" id="39" name="Picture"/>
            <a:graphic>
              <a:graphicData uri="http://schemas.openxmlformats.org/drawingml/2006/picture">
                <pic:pic>
                  <pic:nvPicPr>
                    <pic:cNvPr descr="image/screenshot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Тип файлов и поддиректорий, находящихся в директории /var/www</w:t>
      </w:r>
    </w:p>
    <w:p>
      <w:pPr>
        <w:numPr>
          <w:ilvl w:val="0"/>
          <w:numId w:val="1009"/>
        </w:numPr>
        <w:pStyle w:val="Compact"/>
      </w:pPr>
      <w:r>
        <w:t xml:space="preserve">Определим тип файлов, находящихся в директории /var/www/html (fig. 7).</w:t>
      </w:r>
    </w:p>
    <w:p>
      <w:pPr>
        <w:pStyle w:val="CaptionedFigure"/>
      </w:pPr>
      <w:r>
        <w:drawing>
          <wp:inline>
            <wp:extent cx="2481942" cy="276625"/>
            <wp:effectExtent b="0" l="0" r="0" t="0"/>
            <wp:docPr descr="Тип файлов, находящихся в директории /var/www/html" title="" id="42" name="Picture"/>
            <a:graphic>
              <a:graphicData uri="http://schemas.openxmlformats.org/drawingml/2006/picture">
                <pic:pic>
                  <pic:nvPicPr>
                    <pic:cNvPr descr="image/screenshot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42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Тип файлов, находящихся в директории /var/www/html</w:t>
      </w:r>
    </w:p>
    <w:p>
      <w:pPr>
        <w:numPr>
          <w:ilvl w:val="0"/>
          <w:numId w:val="1010"/>
        </w:numPr>
        <w:pStyle w:val="Compact"/>
      </w:pPr>
      <w:r>
        <w:t xml:space="preserve">Определим круг пользователей, которым разрешено создание файлов в</w:t>
      </w:r>
      <w:r>
        <w:t xml:space="preserve"> </w:t>
      </w:r>
      <w:r>
        <w:t xml:space="preserve">директории /var/www/html (fig. 8).</w:t>
      </w:r>
    </w:p>
    <w:p>
      <w:pPr>
        <w:pStyle w:val="CaptionedFigure"/>
      </w:pPr>
      <w:r>
        <w:drawing>
          <wp:inline>
            <wp:extent cx="4800600" cy="267424"/>
            <wp:effectExtent b="0" l="0" r="0" t="0"/>
            <wp:docPr descr="Круг пользователей, которым разрешено создание файлов в директории /var/www/html" title="" id="45" name="Picture"/>
            <a:graphic>
              <a:graphicData uri="http://schemas.openxmlformats.org/drawingml/2006/picture">
                <pic:pic>
                  <pic:nvPicPr>
                    <pic:cNvPr descr="image/screenshot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7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Круг пользователей, которым разрешено создание файлов в</w:t>
      </w:r>
      <w:r>
        <w:t xml:space="preserve"> </w:t>
      </w:r>
      <w:r>
        <w:t xml:space="preserve">директории /var/www/html</w:t>
      </w:r>
    </w:p>
    <w:p>
      <w:pPr>
        <w:numPr>
          <w:ilvl w:val="0"/>
          <w:numId w:val="1011"/>
        </w:numPr>
        <w:pStyle w:val="Compact"/>
      </w:pPr>
      <w:r>
        <w:t xml:space="preserve">Создадим от имени суперпользователя html-файл /var/www/html/test.html (fig. 9).</w:t>
      </w:r>
    </w:p>
    <w:p>
      <w:pPr>
        <w:pStyle w:val="CaptionedFigure"/>
      </w:pPr>
      <w:r>
        <w:drawing>
          <wp:inline>
            <wp:extent cx="3234978" cy="169048"/>
            <wp:effectExtent b="0" l="0" r="0" t="0"/>
            <wp:docPr descr="Создание файла /var/www/html/test.html" title="" id="48" name="Picture"/>
            <a:graphic>
              <a:graphicData uri="http://schemas.openxmlformats.org/drawingml/2006/picture">
                <pic:pic>
                  <pic:nvPicPr>
                    <pic:cNvPr descr="image/screenshot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78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 /var/www/html/test.html</w:t>
      </w:r>
    </w:p>
    <w:p>
      <w:pPr>
        <w:pStyle w:val="BodyText"/>
      </w:pPr>
      <w:r>
        <w:t xml:space="preserve">Заполним его следующим содержимым:</w:t>
      </w:r>
    </w:p>
    <w:p>
      <w:pPr>
        <w:pStyle w:val="SourceCode"/>
      </w:pP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&lt;body&gt;test&lt;/body&gt;</w:t>
      </w:r>
      <w:r>
        <w:br/>
      </w:r>
      <w:r>
        <w:rPr>
          <w:rStyle w:val="VerbatimChar"/>
        </w:rPr>
        <w:t xml:space="preserve">&lt;/html&gt;</w:t>
      </w:r>
    </w:p>
    <w:p>
      <w:pPr>
        <w:numPr>
          <w:ilvl w:val="0"/>
          <w:numId w:val="1012"/>
        </w:numPr>
        <w:pStyle w:val="Compact"/>
      </w:pPr>
      <w:r>
        <w:t xml:space="preserve">Проверим контекст созданного нами файла (fig. 10).</w:t>
      </w:r>
    </w:p>
    <w:p>
      <w:pPr>
        <w:pStyle w:val="CaptionedFigure"/>
      </w:pPr>
      <w:r>
        <w:drawing>
          <wp:inline>
            <wp:extent cx="4226218" cy="291993"/>
            <wp:effectExtent b="0" l="0" r="0" t="0"/>
            <wp:docPr descr="Работа с параметрами readfile" title="" id="51" name="Picture"/>
            <a:graphic>
              <a:graphicData uri="http://schemas.openxmlformats.org/drawingml/2006/picture">
                <pic:pic>
                  <pic:nvPicPr>
                    <pic:cNvPr descr="image/screenshot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18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Работа с параметрами readfile</w:t>
      </w:r>
    </w:p>
    <w:p>
      <w:pPr>
        <w:pStyle w:val="BodyText"/>
      </w:pPr>
      <w:r>
        <w:t xml:space="preserve">Как видим по умолчанию присваивается контекст unconfined_u:object_r:httpd_sys_content_t:s0</w:t>
      </w:r>
    </w:p>
    <w:p>
      <w:pPr>
        <w:numPr>
          <w:ilvl w:val="0"/>
          <w:numId w:val="1013"/>
        </w:numPr>
        <w:pStyle w:val="Compact"/>
      </w:pPr>
      <w:r>
        <w:t xml:space="preserve">Обратимся к файлу через веб-сервер, введя в браузере адрес</w:t>
      </w:r>
      <w:r>
        <w:t xml:space="preserve"> </w:t>
      </w:r>
      <w:r>
        <w:t xml:space="preserve">http://127.0.0.1/test.html. Убедимся, что файл был успешно отображён (fig. 11).</w:t>
      </w:r>
    </w:p>
    <w:p>
      <w:pPr>
        <w:pStyle w:val="CaptionedFigure"/>
      </w:pPr>
      <w:r>
        <w:drawing>
          <wp:inline>
            <wp:extent cx="4618104" cy="1344705"/>
            <wp:effectExtent b="0" l="0" r="0" t="0"/>
            <wp:docPr descr="Файл test.html в браузере" title="" id="54" name="Picture"/>
            <a:graphic>
              <a:graphicData uri="http://schemas.openxmlformats.org/drawingml/2006/picture">
                <pic:pic>
                  <pic:nvPicPr>
                    <pic:cNvPr descr="image/screenshot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134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test.html в браузере</w:t>
      </w:r>
    </w:p>
    <w:p>
      <w:pPr>
        <w:numPr>
          <w:ilvl w:val="0"/>
          <w:numId w:val="1014"/>
        </w:numPr>
        <w:pStyle w:val="Compact"/>
      </w:pPr>
      <w:r>
        <w:t xml:space="preserve">Изучим справку man httpd_selinux и выясним, какие контексты файлов определены для httpd. Сопоставим их с типом файла test.html (fig. 12).</w:t>
      </w:r>
    </w:p>
    <w:p>
      <w:pPr>
        <w:pStyle w:val="CaptionedFigure"/>
      </w:pPr>
      <w:r>
        <w:drawing>
          <wp:inline>
            <wp:extent cx="4249270" cy="676194"/>
            <wp:effectExtent b="0" l="0" r="0" t="0"/>
            <wp:docPr descr="Вызов справки и тип файла test.html" title="" id="57" name="Picture"/>
            <a:graphic>
              <a:graphicData uri="http://schemas.openxmlformats.org/drawingml/2006/picture">
                <pic:pic>
                  <pic:nvPicPr>
                    <pic:cNvPr descr="image/screenshot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70" cy="67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Вызов справки и тип файла test.html</w:t>
      </w:r>
    </w:p>
    <w:p>
      <w:pPr>
        <w:numPr>
          <w:ilvl w:val="0"/>
          <w:numId w:val="1015"/>
        </w:numPr>
        <w:pStyle w:val="Compact"/>
      </w:pPr>
      <w:r>
        <w:t xml:space="preserve">Изменим контекст файла /var/www/html/test.html с httpd_sys_content_t на samba_share_t (fig. 13).</w:t>
      </w:r>
    </w:p>
    <w:p>
      <w:pPr>
        <w:pStyle w:val="CaptionedFigure"/>
      </w:pPr>
      <w:r>
        <w:drawing>
          <wp:inline>
            <wp:extent cx="3995697" cy="437989"/>
            <wp:effectExtent b="0" l="0" r="0" t="0"/>
            <wp:docPr descr="Изменение контекста" title="" id="60" name="Picture"/>
            <a:graphic>
              <a:graphicData uri="http://schemas.openxmlformats.org/drawingml/2006/picture">
                <pic:pic>
                  <pic:nvPicPr>
                    <pic:cNvPr descr="image/screenshot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97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контекста</w:t>
      </w:r>
    </w:p>
    <w:p>
      <w:pPr>
        <w:pStyle w:val="BodyText"/>
      </w:pPr>
      <w:r>
        <w:t xml:space="preserve">14.Попробуем ещё раз получить доступ к файлу через веб-сервер (fig. 14).</w:t>
      </w:r>
    </w:p>
    <w:p>
      <w:pPr>
        <w:pStyle w:val="CaptionedFigure"/>
      </w:pPr>
      <w:r>
        <w:drawing>
          <wp:inline>
            <wp:extent cx="3895805" cy="1544490"/>
            <wp:effectExtent b="0" l="0" r="0" t="0"/>
            <wp:docPr descr="Файл test.html в браузере после изменения контекста" title="" id="63" name="Picture"/>
            <a:graphic>
              <a:graphicData uri="http://schemas.openxmlformats.org/drawingml/2006/picture">
                <pic:pic>
                  <pic:nvPicPr>
                    <pic:cNvPr descr="image/screenshot_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05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Файл test.html в браузере после изменения контекста</w:t>
      </w:r>
    </w:p>
    <w:p>
      <w:pPr>
        <w:numPr>
          <w:ilvl w:val="0"/>
          <w:numId w:val="1016"/>
        </w:numPr>
        <w:pStyle w:val="Compact"/>
      </w:pPr>
      <w:r>
        <w:t xml:space="preserve">Просмотрим log-файлы веб-сервера Apache и системный лог-файл (fig. 15).</w:t>
      </w:r>
    </w:p>
    <w:p>
      <w:pPr>
        <w:pStyle w:val="CaptionedFigure"/>
      </w:pPr>
      <w:r>
        <w:drawing>
          <wp:inline>
            <wp:extent cx="4800600" cy="2937376"/>
            <wp:effectExtent b="0" l="0" r="0" t="0"/>
            <wp:docPr descr="Содержимое логов" title="" id="66" name="Picture"/>
            <a:graphic>
              <a:graphicData uri="http://schemas.openxmlformats.org/drawingml/2006/picture">
                <pic:pic>
                  <pic:nvPicPr>
                    <pic:cNvPr descr="image/screenshot_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3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Содержимое логов</w:t>
      </w:r>
    </w:p>
    <w:p>
      <w:pPr>
        <w:pStyle w:val="BodyText"/>
      </w:pPr>
      <w:r>
        <w:t xml:space="preserve">Как видим, нам не удалось получить доступ к файлу как раз из-за измененного контекста.</w:t>
      </w:r>
    </w:p>
    <w:p>
      <w:pPr>
        <w:numPr>
          <w:ilvl w:val="0"/>
          <w:numId w:val="1017"/>
        </w:numPr>
        <w:pStyle w:val="Compact"/>
      </w:pPr>
      <w:r>
        <w:t xml:space="preserve">Попробуем запустить веб-сервер Apache на прослушивание ТСР-порта 81 (fig. 16).</w:t>
      </w:r>
    </w:p>
    <w:p>
      <w:pPr>
        <w:pStyle w:val="CaptionedFigure"/>
      </w:pPr>
      <w:r>
        <w:drawing>
          <wp:inline>
            <wp:extent cx="1513754" cy="307361"/>
            <wp:effectExtent b="0" l="0" r="0" t="0"/>
            <wp:docPr descr="Изменение содержимого файла /etc/httpd/httpd.conf" title="" id="69" name="Picture"/>
            <a:graphic>
              <a:graphicData uri="http://schemas.openxmlformats.org/drawingml/2006/picture">
                <pic:pic>
                  <pic:nvPicPr>
                    <pic:cNvPr descr="image/screenshot_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754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содержимого файла /etc/httpd/httpd.conf</w:t>
      </w:r>
    </w:p>
    <w:p>
      <w:pPr>
        <w:numPr>
          <w:ilvl w:val="0"/>
          <w:numId w:val="1018"/>
        </w:numPr>
        <w:pStyle w:val="Compact"/>
      </w:pPr>
      <w:r>
        <w:t xml:space="preserve">Выполним перезапуск веб-сервера. Сбоя не произошло (fig. 17).</w:t>
      </w:r>
    </w:p>
    <w:p>
      <w:pPr>
        <w:pStyle w:val="CaptionedFigure"/>
      </w:pPr>
      <w:r>
        <w:drawing>
          <wp:inline>
            <wp:extent cx="4800600" cy="2505422"/>
            <wp:effectExtent b="0" l="0" r="0" t="0"/>
            <wp:docPr descr="Перезапуск веб-сервера" title="" id="72" name="Picture"/>
            <a:graphic>
              <a:graphicData uri="http://schemas.openxmlformats.org/drawingml/2006/picture">
                <pic:pic>
                  <pic:nvPicPr>
                    <pic:cNvPr descr="image/screenshot_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0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Перезапуск веб-сервера</w:t>
      </w:r>
    </w:p>
    <w:p>
      <w:pPr>
        <w:numPr>
          <w:ilvl w:val="0"/>
          <w:numId w:val="1019"/>
        </w:numPr>
        <w:pStyle w:val="Compact"/>
      </w:pPr>
      <w:r>
        <w:t xml:space="preserve">Проанализируем лог-файлы (fig. 18).</w:t>
      </w:r>
    </w:p>
    <w:p>
      <w:pPr>
        <w:pStyle w:val="CaptionedFigure"/>
      </w:pPr>
      <w:r>
        <w:drawing>
          <wp:inline>
            <wp:extent cx="4800600" cy="1071334"/>
            <wp:effectExtent b="0" l="0" r="0" t="0"/>
            <wp:docPr descr="Лог-файл tail -nl /var/log/messages" title="" id="75" name="Picture"/>
            <a:graphic>
              <a:graphicData uri="http://schemas.openxmlformats.org/drawingml/2006/picture">
                <pic:pic>
                  <pic:nvPicPr>
                    <pic:cNvPr descr="image/screenshot_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7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Лог-файл tail -nl /var/log/messages</w:t>
      </w:r>
    </w:p>
    <w:p>
      <w:pPr>
        <w:numPr>
          <w:ilvl w:val="0"/>
          <w:numId w:val="1020"/>
        </w:numPr>
        <w:pStyle w:val="Compact"/>
      </w:pPr>
      <w:r>
        <w:t xml:space="preserve">Выполним команду semanage port -a -t http_port_t -р tcp 81. После этого проверим список портов командой semanage port -l | grep http_port_t</w:t>
      </w:r>
      <w:r>
        <w:t xml:space="preserve"> </w:t>
      </w:r>
      <w:r>
        <w:t xml:space="preserve">Убедимся, что порт 81 есть в списке. (fig. 19).</w:t>
      </w:r>
    </w:p>
    <w:p>
      <w:pPr>
        <w:pStyle w:val="CaptionedFigure"/>
      </w:pPr>
      <w:r>
        <w:drawing>
          <wp:inline>
            <wp:extent cx="4800600" cy="1166915"/>
            <wp:effectExtent b="0" l="0" r="0" t="0"/>
            <wp:docPr descr="Попытка добавления порта 81 в список и вывод списка допустимых портов" title="" id="78" name="Picture"/>
            <a:graphic>
              <a:graphicData uri="http://schemas.openxmlformats.org/drawingml/2006/picture">
                <pic:pic>
                  <pic:nvPicPr>
                    <pic:cNvPr descr="image/screenshot_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6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Попытка добавления порта 81 в список и вывод списка допустимых портов</w:t>
      </w:r>
    </w:p>
    <w:p>
      <w:pPr>
        <w:numPr>
          <w:ilvl w:val="0"/>
          <w:numId w:val="1021"/>
        </w:numPr>
        <w:pStyle w:val="Compact"/>
      </w:pPr>
      <w:r>
        <w:t xml:space="preserve">Попробуем запустить веб-сервер Apache ещё раз (fig. 20).</w:t>
      </w:r>
    </w:p>
    <w:p>
      <w:pPr>
        <w:pStyle w:val="CaptionedFigure"/>
      </w:pPr>
      <w:r>
        <w:drawing>
          <wp:inline>
            <wp:extent cx="4800600" cy="2193728"/>
            <wp:effectExtent b="0" l="0" r="0" t="0"/>
            <wp:docPr descr="Повторный запуск веб-сервера" title="" id="81" name="Picture"/>
            <a:graphic>
              <a:graphicData uri="http://schemas.openxmlformats.org/drawingml/2006/picture">
                <pic:pic>
                  <pic:nvPicPr>
                    <pic:cNvPr descr="image/screenshot_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9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Повторный запуск веб-сервера</w:t>
      </w:r>
    </w:p>
    <w:p>
      <w:pPr>
        <w:numPr>
          <w:ilvl w:val="0"/>
          <w:numId w:val="1022"/>
        </w:numPr>
        <w:pStyle w:val="Compact"/>
      </w:pPr>
      <w:r>
        <w:t xml:space="preserve">Вернем контекст httpd_sys_cоntent__t к файлу /var/www/html/ test.html. Попробуем получить доступ к файлу через веб-сервер (fig. 21).</w:t>
      </w:r>
    </w:p>
    <w:p>
      <w:pPr>
        <w:pStyle w:val="CaptionedFigure"/>
      </w:pPr>
      <w:r>
        <w:drawing>
          <wp:inline>
            <wp:extent cx="3849700" cy="1306285"/>
            <wp:effectExtent b="0" l="0" r="0" t="0"/>
            <wp:docPr descr="Файл test.html в браузере после возвращения контекста" title="" id="84" name="Picture"/>
            <a:graphic>
              <a:graphicData uri="http://schemas.openxmlformats.org/drawingml/2006/picture">
                <pic:pic>
                  <pic:nvPicPr>
                    <pic:cNvPr descr="image/screenshot_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700" cy="130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Файл test.html в браузере после возвращения контекста</w:t>
      </w:r>
    </w:p>
    <w:p>
      <w:pPr>
        <w:numPr>
          <w:ilvl w:val="0"/>
          <w:numId w:val="1023"/>
        </w:numPr>
        <w:pStyle w:val="Compact"/>
      </w:pPr>
      <w:r>
        <w:t xml:space="preserve">Исправим обратно конфигурационный файл apache, вернув Listen 80 (fig. 22).</w:t>
      </w:r>
    </w:p>
    <w:p>
      <w:pPr>
        <w:pStyle w:val="CaptionedFigure"/>
      </w:pPr>
      <w:r>
        <w:drawing>
          <wp:inline>
            <wp:extent cx="1413862" cy="291993"/>
            <wp:effectExtent b="0" l="0" r="0" t="0"/>
            <wp:docPr descr="Параметр Listen после возвращения значения" title="" id="87" name="Picture"/>
            <a:graphic>
              <a:graphicData uri="http://schemas.openxmlformats.org/drawingml/2006/picture">
                <pic:pic>
                  <pic:nvPicPr>
                    <pic:cNvPr descr="image/screenshot_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862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Параметр Listen после возвращения значения</w:t>
      </w:r>
    </w:p>
    <w:p>
      <w:pPr>
        <w:numPr>
          <w:ilvl w:val="0"/>
          <w:numId w:val="1024"/>
        </w:numPr>
        <w:pStyle w:val="Compact"/>
      </w:pPr>
      <w:r>
        <w:t xml:space="preserve">Попробуем удалить привязку http_port_t к 81. Удаление невозможно(fig. 23).</w:t>
      </w:r>
    </w:p>
    <w:p>
      <w:pPr>
        <w:pStyle w:val="CaptionedFigure"/>
      </w:pPr>
      <w:r>
        <w:drawing>
          <wp:inline>
            <wp:extent cx="3941909" cy="299677"/>
            <wp:effectExtent b="0" l="0" r="0" t="0"/>
            <wp:docPr descr="Попытка удаления привязки к порту 81" title="" id="90" name="Picture"/>
            <a:graphic>
              <a:graphicData uri="http://schemas.openxmlformats.org/drawingml/2006/picture">
                <pic:pic>
                  <pic:nvPicPr>
                    <pic:cNvPr descr="image/screenshot_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09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Попытка удаления привязки к порту 81</w:t>
      </w:r>
    </w:p>
    <w:p>
      <w:pPr>
        <w:numPr>
          <w:ilvl w:val="0"/>
          <w:numId w:val="1025"/>
        </w:numPr>
        <w:pStyle w:val="Compact"/>
      </w:pPr>
      <w:r>
        <w:t xml:space="preserve">Удалим файл /var/www/html/test.html(fig. 24).</w:t>
      </w:r>
    </w:p>
    <w:p>
      <w:pPr>
        <w:pStyle w:val="CaptionedFigure"/>
      </w:pPr>
      <w:r>
        <w:drawing>
          <wp:inline>
            <wp:extent cx="3281082" cy="276625"/>
            <wp:effectExtent b="0" l="0" r="0" t="0"/>
            <wp:docPr descr="Удаление файла /var/www/html/test.html" title="" id="93" name="Picture"/>
            <a:graphic>
              <a:graphicData uri="http://schemas.openxmlformats.org/drawingml/2006/picture">
                <pic:pic>
                  <pic:nvPicPr>
                    <pic:cNvPr descr="image/screenshot_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82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Удаление файла /var/www/html/test.html</w:t>
      </w:r>
    </w:p>
    <w:bookmarkEnd w:id="95"/>
    <w:bookmarkStart w:id="9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были развиты навыки администрирования ОС Linux. Получено первое практическое знакомство с технологией SELinux1. Проверена работа SELinx на практике совместно с веб-сервером Apache.</w:t>
      </w:r>
    </w:p>
    <w:bookmarkEnd w:id="96"/>
    <w:bookmarkStart w:id="9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https://blog.skillfactory.ru/glossary/operaczionnaya-sistema/</w:t>
      </w:r>
    </w:p>
    <w:p>
      <w:pPr>
        <w:pStyle w:val="BodyText"/>
      </w:pPr>
      <w:r>
        <w:t xml:space="preserve">[2] https://codechick.io/tutorials/unix-linux/unix-linux-permissions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1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2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3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4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5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Тарусов Артём Сергеевич</dc:creator>
  <dc:language>ru-RU</dc:language>
  <cp:keywords/>
  <dcterms:created xsi:type="dcterms:W3CDTF">2023-10-12T13:16:05Z</dcterms:created>
  <dcterms:modified xsi:type="dcterms:W3CDTF">2023-10-12T13:16:05Z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Мандатное разграничение прав в Linux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