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ключа. [1].</w:t>
      </w:r>
    </w:p>
    <w:p>
      <w:pPr>
        <w:numPr>
          <w:ilvl w:val="0"/>
          <w:numId w:val="1002"/>
        </w:numPr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 [2].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Импортируем необходимые модули (fig. 1).</w:t>
      </w:r>
    </w:p>
    <w:p>
      <w:pPr>
        <w:pStyle w:val="CaptionedFigure"/>
      </w:pPr>
      <w:r>
        <w:drawing>
          <wp:inline>
            <wp:extent cx="4800600" cy="350339"/>
            <wp:effectExtent b="0" l="0" r="0" t="0"/>
            <wp:docPr descr="Импорт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Импорт</w:t>
      </w:r>
    </w:p>
    <w:p>
      <w:pPr>
        <w:numPr>
          <w:ilvl w:val="0"/>
          <w:numId w:val="1004"/>
        </w:numPr>
        <w:pStyle w:val="Compact"/>
      </w:pPr>
      <w:r>
        <w:t xml:space="preserve">Создадим функцию для преобразования данных в шестнадцатеричный формат (fig. 2).</w:t>
      </w:r>
    </w:p>
    <w:p>
      <w:pPr>
        <w:pStyle w:val="CaptionedFigure"/>
      </w:pPr>
      <w:r>
        <w:drawing>
          <wp:inline>
            <wp:extent cx="4800600" cy="338809"/>
            <wp:effectExtent b="0" l="0" r="0" t="0"/>
            <wp:docPr descr="Функция toHex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toHex</w:t>
      </w:r>
    </w:p>
    <w:p>
      <w:pPr>
        <w:numPr>
          <w:ilvl w:val="0"/>
          <w:numId w:val="1005"/>
        </w:numPr>
        <w:pStyle w:val="Compact"/>
      </w:pPr>
      <w:r>
        <w:t xml:space="preserve">Напишем функцию, генерирующую ключ (fig. 3).</w:t>
      </w:r>
    </w:p>
    <w:p>
      <w:pPr>
        <w:pStyle w:val="CaptionedFigure"/>
      </w:pPr>
      <w:r>
        <w:drawing>
          <wp:inline>
            <wp:extent cx="4800600" cy="442912"/>
            <wp:effectExtent b="0" l="0" r="0" t="0"/>
            <wp:docPr descr="Функция gen_key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gen_key</w:t>
      </w:r>
    </w:p>
    <w:p>
      <w:pPr>
        <w:numPr>
          <w:ilvl w:val="0"/>
          <w:numId w:val="1006"/>
        </w:numPr>
        <w:pStyle w:val="Compact"/>
      </w:pPr>
      <w:r>
        <w:t xml:space="preserve">Реализуем функцию для кодирования и декодирования данных (fig. 4).</w:t>
      </w:r>
    </w:p>
    <w:p>
      <w:pPr>
        <w:pStyle w:val="CaptionedFigure"/>
      </w:pPr>
      <w:r>
        <w:drawing>
          <wp:inline>
            <wp:extent cx="4800600" cy="329265"/>
            <wp:effectExtent b="0" l="0" r="0" t="0"/>
            <wp:docPr descr="Функция encoder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Функция encoder</w:t>
      </w:r>
    </w:p>
    <w:p>
      <w:pPr>
        <w:numPr>
          <w:ilvl w:val="0"/>
          <w:numId w:val="1007"/>
        </w:numPr>
        <w:pStyle w:val="Compact"/>
      </w:pPr>
      <w:r>
        <w:t xml:space="preserve">Закодируем и декодируем строку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(fig. 5).</w:t>
      </w:r>
    </w:p>
    <w:p>
      <w:pPr>
        <w:pStyle w:val="CaptionedFigure"/>
      </w:pPr>
      <w:r>
        <w:drawing>
          <wp:inline>
            <wp:extent cx="4800600" cy="1495735"/>
            <wp:effectExtent b="0" l="0" r="0" t="0"/>
            <wp:docPr descr="Кодирование и декодирование строки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Кодирование и декодирование строки</w:t>
      </w:r>
    </w:p>
    <w:p>
      <w:pPr>
        <w:numPr>
          <w:ilvl w:val="0"/>
          <w:numId w:val="1008"/>
        </w:numPr>
        <w:pStyle w:val="Compact"/>
      </w:pPr>
      <w:r>
        <w:t xml:space="preserve">Получим ключ, с помощью которого получим сообщение</w:t>
      </w:r>
      <w:r>
        <w:t xml:space="preserve"> </w:t>
      </w:r>
      <w:r>
        <w:t xml:space="preserve">“</w:t>
      </w:r>
      <w:r>
        <w:t xml:space="preserve">С Новым годом, коллега</w:t>
      </w:r>
      <w:r>
        <w:t xml:space="preserve">”</w:t>
      </w:r>
      <w:r>
        <w:t xml:space="preserve">, вместо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при декодировании. Воспользуемся симметричностью кодирования(fig. 6).</w:t>
      </w:r>
    </w:p>
    <w:p>
      <w:pPr>
        <w:pStyle w:val="CaptionedFigure"/>
      </w:pPr>
      <w:r>
        <w:drawing>
          <wp:inline>
            <wp:extent cx="4800600" cy="691248"/>
            <wp:effectExtent b="0" l="0" r="0" t="0"/>
            <wp:docPr descr="Получение ключа для другого прочтения открытого текста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Получение ключа для другого прочтения открытого текста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https://www.kaspersky.ru/resource-center/definitions/encryption</w:t>
      </w:r>
    </w:p>
    <w:p>
      <w:pPr>
        <w:pStyle w:val="BodyText"/>
      </w:pPr>
      <w:r>
        <w:t xml:space="preserve">[2] https://xakep.ru/2019/07/18/crypto-xor/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Тарусов Артём Сергеевич</dc:creator>
  <dc:language>ru-RU</dc:language>
  <cp:keywords/>
  <dcterms:created xsi:type="dcterms:W3CDTF">2023-10-19T12:51:49Z</dcterms:created>
  <dcterms:modified xsi:type="dcterms:W3CDTF">2023-10-19T12:51:49Z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