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73" w:rsidRDefault="00032BC7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54" style="width:511.2pt;height:178.75pt;mso-position-horizontal-relative:char;mso-position-vertical-relative:line" coordsize="10224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4" type="#_x0000_t75" style="position:absolute;left:9316;width:794;height:372">
              <v:imagedata r:id="rId7" o:title=""/>
            </v:shape>
            <v:rect id="_x0000_s1263" style="position:absolute;width:10224;height:3116" stroked="f"/>
            <v:line id="_x0000_s1262" style="position:absolute" from="6693,1531" to="6693,3572" strokeweight=".25pt"/>
            <v:line id="_x0000_s1261" style="position:absolute" from="2401,3572" to="2401,1531" strokeweight=".25pt"/>
            <v:shape id="_x0000_s1260" type="#_x0000_t75" style="position:absolute;left:9105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9" type="#_x0000_t202" style="position:absolute;top:570;width:2283;height:500" filled="f" stroked="f">
              <v:textbox inset="0,0,0,0">
                <w:txbxContent>
                  <w:p w:rsidR="00845E73" w:rsidRDefault="00032BC7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For_the_week_ending_December_8,_2017"/>
                    <w:bookmarkStart w:id="2" w:name="Supply_chain_companies_report_weakening_"/>
                    <w:bookmarkStart w:id="3" w:name="Another_report_suggests_LCD_iPhone_model"/>
                    <w:bookmarkStart w:id="4" w:name="Table_Title:_Companies_featured_(Compari"/>
                    <w:bookmarkEnd w:id="0"/>
                    <w:bookmarkEnd w:id="1"/>
                    <w:bookmarkEnd w:id="2"/>
                    <w:bookmarkEnd w:id="3"/>
                    <w:bookmarkEnd w:id="4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258" type="#_x0000_t202" style="position:absolute;top:1509;width:2268;height:1180" filled="f" stroked="f">
              <v:textbox inset="0,0,0,0">
                <w:txbxContent>
                  <w:p w:rsidR="00845E73" w:rsidRDefault="00032BC7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845E73" w:rsidRDefault="00032BC7">
                    <w:pPr>
                      <w:spacing w:before="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  <w:p w:rsidR="00845E73" w:rsidRDefault="00032BC7">
                    <w:pPr>
                      <w:spacing w:before="77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845E73" w:rsidRDefault="00032BC7">
                    <w:pPr>
                      <w:spacing w:before="7" w:line="249" w:lineRule="auto"/>
                      <w:ind w:right="-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257" type="#_x0000_t202" style="position:absolute;left:2585;top:1552;width:3377;height:1015" filled="f" stroked="f">
              <v:textbox inset="0,0,0,0">
                <w:txbxContent>
                  <w:p w:rsidR="00845E73" w:rsidRDefault="00032BC7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Industry</w:t>
                    </w:r>
                  </w:p>
                  <w:p w:rsidR="00845E73" w:rsidRDefault="00032BC7">
                    <w:pPr>
                      <w:spacing w:before="17" w:line="211" w:lineRule="auto"/>
                      <w:ind w:right="8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Scribner's Slice of Apple</w:t>
                    </w:r>
                  </w:p>
                </w:txbxContent>
              </v:textbox>
            </v:shape>
            <v:shape id="_x0000_s1256" type="#_x0000_t202" style="position:absolute;left:6955;top:1525;width:1793;height:435" filled="f" stroked="f">
              <v:textbox inset="0,0,0,0">
                <w:txbxContent>
                  <w:p w:rsidR="00845E73" w:rsidRDefault="00032BC7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845E73" w:rsidRDefault="00032BC7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 December 2017</w:t>
                    </w:r>
                  </w:p>
                </w:txbxContent>
              </v:textbox>
            </v:shape>
            <v:shape id="_x0000_s1255" type="#_x0000_t202" style="position:absolute;left:6955;top:2143;width:1284;height:280" filled="f" stroked="f">
              <v:textbox inset="0,0,0,0">
                <w:txbxContent>
                  <w:p w:rsidR="00845E73" w:rsidRDefault="00032BC7">
                    <w:pPr>
                      <w:spacing w:line="269" w:lineRule="exac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Periodical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45E73" w:rsidRDefault="00032BC7">
      <w:pPr>
        <w:spacing w:before="57"/>
        <w:ind w:left="107"/>
        <w:rPr>
          <w:sz w:val="36"/>
        </w:rPr>
      </w:pPr>
      <w:r>
        <w:rPr>
          <w:w w:val="105"/>
          <w:sz w:val="36"/>
        </w:rPr>
        <w:t>A weekly take on Apple news</w:t>
      </w:r>
    </w:p>
    <w:p w:rsidR="00845E73" w:rsidRDefault="00845E73">
      <w:pPr>
        <w:pStyle w:val="BodyText"/>
        <w:rPr>
          <w:sz w:val="20"/>
        </w:rPr>
      </w:pPr>
    </w:p>
    <w:p w:rsidR="00845E73" w:rsidRDefault="00845E73">
      <w:pPr>
        <w:pStyle w:val="BodyText"/>
        <w:spacing w:before="2"/>
        <w:rPr>
          <w:sz w:val="21"/>
        </w:rPr>
      </w:pPr>
    </w:p>
    <w:p w:rsidR="00845E73" w:rsidRDefault="00032BC7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2" style="width:335pt;height:.5pt;mso-position-horizontal-relative:char;mso-position-vertical-relative:line" coordsize="6700,10">
            <v:line id="_x0000_s1253" style="position:absolute" from="6695,5" to="5,5" strokeweight=".5pt"/>
            <w10:wrap type="none"/>
            <w10:anchorlock/>
          </v:group>
        </w:pict>
      </w:r>
    </w:p>
    <w:p w:rsidR="00845E73" w:rsidRDefault="00845E73">
      <w:pPr>
        <w:spacing w:line="20" w:lineRule="exact"/>
        <w:rPr>
          <w:sz w:val="2"/>
        </w:rPr>
        <w:sectPr w:rsidR="00845E73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845E73" w:rsidRDefault="00032BC7">
      <w:pPr>
        <w:pStyle w:val="BodyText"/>
        <w:spacing w:before="68"/>
        <w:ind w:left="107"/>
      </w:pPr>
      <w:r>
        <w:rPr>
          <w:color w:val="0098DB"/>
          <w:w w:val="105"/>
        </w:rPr>
        <w:t>For the week ending December 8, 2017</w:t>
      </w:r>
    </w:p>
    <w:p w:rsidR="00845E73" w:rsidRDefault="00032BC7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News out of Asia from suppliers suggests that demand for iPhone X is waning, with November iPhone X component orders weakening by 30% versus prior levels.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week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another</w:t>
      </w:r>
      <w:r>
        <w:rPr>
          <w:spacing w:val="-5"/>
          <w:w w:val="105"/>
        </w:rPr>
        <w:t xml:space="preserve"> </w:t>
      </w:r>
      <w:r>
        <w:rPr>
          <w:w w:val="105"/>
        </w:rPr>
        <w:t>report</w:t>
      </w:r>
      <w:r>
        <w:rPr>
          <w:spacing w:val="-5"/>
          <w:w w:val="105"/>
        </w:rPr>
        <w:t xml:space="preserve"> </w:t>
      </w:r>
      <w:r>
        <w:rPr>
          <w:w w:val="105"/>
        </w:rPr>
        <w:t>emerged</w:t>
      </w:r>
      <w:r>
        <w:rPr>
          <w:spacing w:val="-5"/>
          <w:w w:val="105"/>
        </w:rPr>
        <w:t xml:space="preserve"> </w:t>
      </w:r>
      <w:r>
        <w:rPr>
          <w:w w:val="105"/>
        </w:rPr>
        <w:t>suggesting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6.1-inch</w:t>
      </w:r>
      <w:r>
        <w:rPr>
          <w:spacing w:val="-5"/>
          <w:w w:val="105"/>
        </w:rPr>
        <w:t xml:space="preserve"> </w:t>
      </w:r>
      <w:r>
        <w:rPr>
          <w:w w:val="105"/>
        </w:rPr>
        <w:t>iPhone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with an LCD display is coming next </w:t>
      </w:r>
      <w:r>
        <w:rPr>
          <w:spacing w:val="-3"/>
          <w:w w:val="105"/>
        </w:rPr>
        <w:t xml:space="preserve">year. </w:t>
      </w:r>
      <w:r>
        <w:rPr>
          <w:w w:val="105"/>
        </w:rPr>
        <w:t>In other Apple news, the company released a temporary ﬁx for a HomeKit security bug, the head of Apple's health team has left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form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medical</w:t>
      </w:r>
      <w:r>
        <w:rPr>
          <w:spacing w:val="-7"/>
          <w:w w:val="105"/>
        </w:rPr>
        <w:t xml:space="preserve"> </w:t>
      </w:r>
      <w:r>
        <w:rPr>
          <w:w w:val="105"/>
        </w:rPr>
        <w:t>records</w:t>
      </w:r>
      <w:r>
        <w:rPr>
          <w:spacing w:val="-7"/>
          <w:w w:val="105"/>
        </w:rPr>
        <w:t xml:space="preserve"> </w:t>
      </w:r>
      <w:r>
        <w:rPr>
          <w:w w:val="105"/>
        </w:rPr>
        <w:t>start-up,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Ireland's</w:t>
      </w:r>
      <w:r>
        <w:rPr>
          <w:spacing w:val="-7"/>
          <w:w w:val="105"/>
        </w:rPr>
        <w:t xml:space="preserve"> </w:t>
      </w:r>
      <w:r>
        <w:rPr>
          <w:w w:val="105"/>
        </w:rPr>
        <w:t>plans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establish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13B</w:t>
      </w:r>
      <w:r>
        <w:rPr>
          <w:spacing w:val="-7"/>
          <w:w w:val="105"/>
        </w:rPr>
        <w:t xml:space="preserve"> </w:t>
      </w:r>
      <w:r>
        <w:rPr>
          <w:w w:val="105"/>
        </w:rPr>
        <w:t>euro escrow fund for Apple's back taxes are moving forward. Lastly, Apple published a paper on its machine learning blog highlighting its diﬀerential privacy policy and hired a new television executive to support the development of its series  programming.</w:t>
      </w:r>
    </w:p>
    <w:p w:rsidR="00845E73" w:rsidRDefault="00032BC7">
      <w:pPr>
        <w:pStyle w:val="BodyText"/>
        <w:spacing w:before="114" w:line="261" w:lineRule="auto"/>
        <w:ind w:left="107"/>
      </w:pPr>
      <w:r>
        <w:rPr>
          <w:color w:val="0098DB"/>
          <w:w w:val="105"/>
        </w:rPr>
        <w:t xml:space="preserve">Supply chain companies report weakening iPhone X component demand </w:t>
      </w:r>
      <w:r>
        <w:rPr>
          <w:w w:val="105"/>
        </w:rPr>
        <w:t>November orders for iPhone X components have weakened by 30% vs. earlier expectations,  following  strong  September  and  October  orders,  with  further</w:t>
      </w:r>
    </w:p>
    <w:p w:rsidR="00845E73" w:rsidRDefault="00032BC7">
      <w:pPr>
        <w:pStyle w:val="BodyText"/>
        <w:spacing w:before="15" w:line="278" w:lineRule="auto"/>
        <w:ind w:left="107" w:right="-15"/>
      </w:pPr>
      <w:r>
        <w:rPr>
          <w:w w:val="105"/>
        </w:rPr>
        <w:t>weakness expected in December orde</w:t>
      </w:r>
      <w:r>
        <w:rPr>
          <w:w w:val="105"/>
        </w:rPr>
        <w:t xml:space="preserve">rs, according to DigiTimes. </w:t>
      </w:r>
      <w:r>
        <w:rPr>
          <w:spacing w:val="-3"/>
          <w:w w:val="105"/>
        </w:rPr>
        <w:t xml:space="preserve">Key </w:t>
      </w:r>
      <w:r>
        <w:rPr>
          <w:w w:val="105"/>
        </w:rPr>
        <w:t>iPhone X suppliers Largan Precision, Catcher Technology, and General Interface Solution (GIS)</w:t>
      </w:r>
      <w:r>
        <w:rPr>
          <w:spacing w:val="-7"/>
          <w:w w:val="105"/>
        </w:rPr>
        <w:t xml:space="preserve"> </w:t>
      </w:r>
      <w:r>
        <w:rPr>
          <w:w w:val="105"/>
        </w:rPr>
        <w:t>reported</w:t>
      </w:r>
      <w:r>
        <w:rPr>
          <w:spacing w:val="-7"/>
          <w:w w:val="105"/>
        </w:rPr>
        <w:t xml:space="preserve"> </w:t>
      </w:r>
      <w:r>
        <w:rPr>
          <w:w w:val="105"/>
        </w:rPr>
        <w:t>ﬂ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declining</w:t>
      </w:r>
      <w:r>
        <w:rPr>
          <w:spacing w:val="-7"/>
          <w:w w:val="105"/>
        </w:rPr>
        <w:t xml:space="preserve"> </w:t>
      </w:r>
      <w:r>
        <w:rPr>
          <w:w w:val="105"/>
        </w:rPr>
        <w:t>sequential</w:t>
      </w:r>
      <w:r>
        <w:rPr>
          <w:spacing w:val="-7"/>
          <w:w w:val="105"/>
        </w:rPr>
        <w:t xml:space="preserve"> </w:t>
      </w:r>
      <w:r>
        <w:rPr>
          <w:w w:val="105"/>
        </w:rPr>
        <w:t>sales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anticipate</w:t>
      </w:r>
      <w:r>
        <w:rPr>
          <w:spacing w:val="-7"/>
          <w:w w:val="105"/>
        </w:rPr>
        <w:t xml:space="preserve"> </w:t>
      </w:r>
      <w:r>
        <w:rPr>
          <w:w w:val="105"/>
        </w:rPr>
        <w:t>month-over-month declines in December. Sources suggest iPhone X shipment</w:t>
      </w:r>
      <w:r>
        <w:rPr>
          <w:w w:val="105"/>
        </w:rPr>
        <w:t xml:space="preserve">s will decline by 30% Q/Q in C1Q-18, due to seasonality and the timing of the Lunar New </w:t>
      </w:r>
      <w:r>
        <w:rPr>
          <w:spacing w:val="-6"/>
          <w:w w:val="105"/>
        </w:rPr>
        <w:t xml:space="preserve">Year. </w:t>
      </w:r>
      <w:hyperlink r:id="rId9">
        <w:r>
          <w:rPr>
            <w:w w:val="105"/>
          </w:rPr>
          <w:t>(http://www.digitimes.com/news/a20171208PD210.html)</w:t>
        </w:r>
      </w:hyperlink>
    </w:p>
    <w:p w:rsidR="00845E73" w:rsidRDefault="00845E73">
      <w:pPr>
        <w:pStyle w:val="BodyText"/>
        <w:spacing w:before="6"/>
        <w:rPr>
          <w:sz w:val="19"/>
        </w:rPr>
      </w:pPr>
    </w:p>
    <w:p w:rsidR="00845E73" w:rsidRDefault="00032BC7">
      <w:pPr>
        <w:pStyle w:val="BodyText"/>
        <w:ind w:left="107"/>
      </w:pPr>
      <w:r>
        <w:rPr>
          <w:color w:val="0098DB"/>
          <w:w w:val="105"/>
        </w:rPr>
        <w:t>Another report suggests LCD iPhone mode</w:t>
      </w:r>
      <w:r>
        <w:rPr>
          <w:color w:val="0098DB"/>
          <w:w w:val="105"/>
        </w:rPr>
        <w:t>l coming 2018</w:t>
      </w:r>
    </w:p>
    <w:p w:rsidR="00845E73" w:rsidRDefault="00032BC7">
      <w:pPr>
        <w:pStyle w:val="BodyText"/>
        <w:spacing w:before="2" w:line="278" w:lineRule="auto"/>
        <w:ind w:left="107"/>
      </w:pPr>
      <w:r>
        <w:rPr>
          <w:w w:val="105"/>
        </w:rPr>
        <w:t>Apple is reportedly planning to introduce an iPhone with an LCD (liquid crystal display) in 2018, featuring a larger 6.1-inch screen and a metal back panel, according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Nikkei</w:t>
      </w:r>
      <w:r>
        <w:rPr>
          <w:spacing w:val="-8"/>
          <w:w w:val="105"/>
        </w:rPr>
        <w:t xml:space="preserve"> </w:t>
      </w:r>
      <w:r>
        <w:rPr>
          <w:w w:val="105"/>
        </w:rPr>
        <w:t>Asian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Review.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report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suggests</w:t>
      </w:r>
      <w:r>
        <w:rPr>
          <w:spacing w:val="-8"/>
          <w:w w:val="105"/>
        </w:rPr>
        <w:t xml:space="preserve"> </w:t>
      </w:r>
      <w:r>
        <w:rPr>
          <w:w w:val="105"/>
        </w:rPr>
        <w:t>5.8-inch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6.3- inch</w:t>
      </w:r>
      <w:r>
        <w:rPr>
          <w:w w:val="105"/>
        </w:rPr>
        <w:t xml:space="preserve"> iPhones with OLED displays may also be released. As we wrote in Slices in October, The Wall Street Journal suggested an LCD iPhone was in</w:t>
      </w:r>
      <w:r>
        <w:rPr>
          <w:spacing w:val="-21"/>
          <w:w w:val="105"/>
        </w:rPr>
        <w:t xml:space="preserve"> </w:t>
      </w:r>
      <w:r>
        <w:rPr>
          <w:w w:val="105"/>
        </w:rPr>
        <w:t>development and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articles</w:t>
      </w:r>
      <w:r>
        <w:rPr>
          <w:spacing w:val="-7"/>
          <w:w w:val="105"/>
        </w:rPr>
        <w:t xml:space="preserve"> </w:t>
      </w:r>
      <w:r>
        <w:rPr>
          <w:w w:val="105"/>
        </w:rPr>
        <w:t>highlight</w:t>
      </w:r>
      <w:r>
        <w:rPr>
          <w:spacing w:val="-7"/>
          <w:w w:val="105"/>
        </w:rPr>
        <w:t xml:space="preserve"> </w:t>
      </w:r>
      <w:r>
        <w:rPr>
          <w:w w:val="105"/>
        </w:rPr>
        <w:t>Apple's</w:t>
      </w:r>
      <w:r>
        <w:rPr>
          <w:spacing w:val="-7"/>
          <w:w w:val="105"/>
        </w:rPr>
        <w:t xml:space="preserve"> </w:t>
      </w:r>
      <w:r>
        <w:rPr>
          <w:w w:val="105"/>
        </w:rPr>
        <w:t>interest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lowering</w:t>
      </w:r>
      <w:r>
        <w:rPr>
          <w:spacing w:val="-7"/>
          <w:w w:val="105"/>
        </w:rPr>
        <w:t xml:space="preserve"> </w:t>
      </w:r>
      <w:r>
        <w:rPr>
          <w:w w:val="105"/>
        </w:rPr>
        <w:t>dependence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Samsung's supply of OLED displays as a </w:t>
      </w:r>
      <w:r>
        <w:rPr>
          <w:spacing w:val="-3"/>
          <w:w w:val="105"/>
        </w:rPr>
        <w:t xml:space="preserve">key </w:t>
      </w:r>
      <w:r>
        <w:rPr>
          <w:w w:val="105"/>
        </w:rPr>
        <w:t>rationale for an LCD iPhone model. (https://asia.nikkei.com/Business/AC/Apple-planning-LCD-iPhone-with-a-metal- case-for-2018-source)</w:t>
      </w:r>
    </w:p>
    <w:p w:rsidR="00845E73" w:rsidRDefault="00845E73">
      <w:pPr>
        <w:pStyle w:val="BodyText"/>
        <w:spacing w:before="7"/>
        <w:rPr>
          <w:sz w:val="19"/>
        </w:rPr>
      </w:pPr>
    </w:p>
    <w:p w:rsidR="00845E73" w:rsidRDefault="00032BC7">
      <w:pPr>
        <w:pStyle w:val="BodyText"/>
        <w:ind w:left="107"/>
      </w:pPr>
      <w:r>
        <w:rPr>
          <w:color w:val="0098DB"/>
          <w:w w:val="105"/>
        </w:rPr>
        <w:t>Temporary HomeKit security bug ﬁx disables remote features</w:t>
      </w:r>
    </w:p>
    <w:p w:rsidR="00845E73" w:rsidRDefault="00032BC7">
      <w:pPr>
        <w:pStyle w:val="BodyText"/>
        <w:spacing w:before="2" w:line="278" w:lineRule="auto"/>
        <w:ind w:left="107"/>
        <w:jc w:val="both"/>
      </w:pPr>
      <w:r>
        <w:rPr>
          <w:w w:val="105"/>
        </w:rPr>
        <w:t xml:space="preserve">Apple has released </w:t>
      </w:r>
      <w:r>
        <w:rPr>
          <w:w w:val="105"/>
        </w:rPr>
        <w:t xml:space="preserve">a temporary ﬁx to an iOS 11.2 security vulnerability that allowed unauthorized third-parties access to smart locks and other connected hardware via HomeKit, according to TechCrunch. </w:t>
      </w:r>
      <w:r>
        <w:rPr>
          <w:spacing w:val="-3"/>
          <w:w w:val="105"/>
        </w:rPr>
        <w:t xml:space="preserve">However,  </w:t>
      </w:r>
      <w:r>
        <w:rPr>
          <w:w w:val="105"/>
        </w:rPr>
        <w:t>the bug ﬁx, which  is on Apple's end, has disabled some of HomeK</w:t>
      </w:r>
      <w:r>
        <w:rPr>
          <w:w w:val="105"/>
        </w:rPr>
        <w:t>it's remote features until Apple introduces a permanent software ﬁx next</w:t>
      </w:r>
      <w:r>
        <w:rPr>
          <w:spacing w:val="36"/>
          <w:w w:val="105"/>
        </w:rPr>
        <w:t xml:space="preserve"> </w:t>
      </w:r>
      <w:r>
        <w:rPr>
          <w:w w:val="105"/>
        </w:rPr>
        <w:t>week.</w:t>
      </w:r>
    </w:p>
    <w:p w:rsidR="00845E73" w:rsidRDefault="00032BC7">
      <w:pPr>
        <w:spacing w:line="139" w:lineRule="exact"/>
        <w:ind w:left="107"/>
        <w:rPr>
          <w:sz w:val="14"/>
        </w:rPr>
      </w:pPr>
      <w:r>
        <w:br w:type="column"/>
      </w:r>
      <w:hyperlink r:id="rId10">
        <w:r>
          <w:rPr>
            <w:color w:val="0098DB"/>
            <w:w w:val="105"/>
            <w:sz w:val="14"/>
          </w:rPr>
          <w:t>Sherri Scribner</w:t>
        </w:r>
      </w:hyperlink>
    </w:p>
    <w:p w:rsidR="00845E73" w:rsidRDefault="00032BC7">
      <w:pPr>
        <w:spacing w:before="93"/>
        <w:ind w:left="107"/>
        <w:rPr>
          <w:sz w:val="14"/>
        </w:rPr>
      </w:pPr>
      <w:r>
        <w:rPr>
          <w:w w:val="105"/>
          <w:sz w:val="14"/>
        </w:rPr>
        <w:t>Research Analyst</w:t>
      </w:r>
    </w:p>
    <w:p w:rsidR="00845E73" w:rsidRDefault="00032BC7">
      <w:pPr>
        <w:spacing w:before="93"/>
        <w:ind w:left="107"/>
        <w:rPr>
          <w:sz w:val="14"/>
        </w:rPr>
      </w:pPr>
      <w:r>
        <w:rPr>
          <w:w w:val="105"/>
          <w:sz w:val="14"/>
        </w:rPr>
        <w:t>+1-212-250-5734</w:t>
      </w:r>
    </w:p>
    <w:p w:rsidR="00845E73" w:rsidRDefault="00845E73">
      <w:pPr>
        <w:pStyle w:val="BodyText"/>
        <w:spacing w:before="7"/>
        <w:rPr>
          <w:sz w:val="20"/>
        </w:rPr>
      </w:pPr>
    </w:p>
    <w:p w:rsidR="00845E73" w:rsidRDefault="00032BC7">
      <w:pPr>
        <w:spacing w:line="379" w:lineRule="auto"/>
        <w:ind w:left="107" w:right="2259"/>
        <w:rPr>
          <w:sz w:val="14"/>
        </w:rPr>
      </w:pPr>
      <w:hyperlink r:id="rId11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845E73" w:rsidRDefault="00032BC7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+1-212-250-0948</w:t>
      </w:r>
    </w:p>
    <w:p w:rsidR="00845E73" w:rsidRDefault="00845E73">
      <w:pPr>
        <w:pStyle w:val="BodyText"/>
        <w:spacing w:before="7"/>
        <w:rPr>
          <w:sz w:val="20"/>
        </w:rPr>
      </w:pPr>
    </w:p>
    <w:p w:rsidR="00845E73" w:rsidRDefault="00032BC7">
      <w:pPr>
        <w:spacing w:line="379" w:lineRule="auto"/>
        <w:ind w:left="107" w:right="1654"/>
        <w:rPr>
          <w:sz w:val="14"/>
        </w:rPr>
      </w:pPr>
      <w:hyperlink r:id="rId12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845E73" w:rsidRDefault="00032BC7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+1-212-250-0639</w:t>
      </w:r>
    </w:p>
    <w:p w:rsidR="00845E73" w:rsidRDefault="00032BC7">
      <w:pPr>
        <w:pStyle w:val="BodyText"/>
        <w:spacing w:before="8"/>
        <w:rPr>
          <w:sz w:val="19"/>
        </w:rPr>
      </w:pPr>
      <w:r>
        <w:pict>
          <v:group id="_x0000_s1245" style="position:absolute;margin-left:393pt;margin-top:13.3pt;width:158.95pt;height:10.85pt;z-index:1216;mso-wrap-distance-left:0;mso-wrap-distance-right:0;mso-position-horizontal-relative:page" coordorigin="7860,266" coordsize="3179,217">
            <v:line id="_x0000_s1251" style="position:absolute" from="7865,276" to="9571,276" strokecolor="#0098db" strokeweight=".5pt"/>
            <v:line id="_x0000_s1250" style="position:absolute" from="7870,271" to="7870,478" strokecolor="#0098db" strokeweight=".5pt"/>
            <v:line id="_x0000_s1249" style="position:absolute" from="9571,276" to="10058,276" strokecolor="#0098db" strokeweight=".5pt"/>
            <v:line id="_x0000_s1248" style="position:absolute" from="10058,276" to="10546,276" strokecolor="#0098db" strokeweight=".5pt"/>
            <v:line id="_x0000_s1247" style="position:absolute" from="10546,276" to="11034,276" strokecolor="#0098db" strokeweight=".5pt"/>
            <v:shape id="_x0000_s1246" type="#_x0000_t202" style="position:absolute;left:7860;top:266;width:3179;height:217" filled="f" stroked="f">
              <v:textbox inset="0,0,0,0">
                <w:txbxContent>
                  <w:p w:rsidR="00845E73" w:rsidRDefault="00032BC7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Companies featured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45E73" w:rsidRDefault="00032BC7">
      <w:pPr>
        <w:tabs>
          <w:tab w:val="left" w:pos="2963"/>
        </w:tabs>
        <w:spacing w:before="10"/>
        <w:ind w:left="192"/>
        <w:jc w:val="both"/>
        <w:rPr>
          <w:sz w:val="14"/>
        </w:rPr>
      </w:pPr>
      <w:r>
        <w:rPr>
          <w:w w:val="105"/>
          <w:sz w:val="14"/>
        </w:rPr>
        <w:t>Apple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Inc.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(AAPL.OQ),USD169.32</w:t>
      </w:r>
      <w:r>
        <w:rPr>
          <w:w w:val="105"/>
          <w:sz w:val="14"/>
        </w:rPr>
        <w:tab/>
        <w:t>Hold</w:t>
      </w:r>
    </w:p>
    <w:p w:rsidR="00845E73" w:rsidRDefault="00032BC7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6" style="width:158.7pt;height:.5pt;mso-position-horizontal-relative:char;mso-position-vertical-relative:line" coordsize="3174,10">
            <v:line id="_x0000_s1244" style="position:absolute" from="1706,5" to="5,5" strokecolor="#ccc" strokeweight=".5pt"/>
            <v:line id="_x0000_s1243" style="position:absolute" from="2193,5" to="1706,5" strokecolor="#ccc" strokeweight=".5pt"/>
            <v:line id="_x0000_s1242" style="position:absolute" from="2681,5" to="2193,5" strokecolor="#ccc" strokeweight=".5pt"/>
            <v:line id="_x0000_s1241" style="position:absolute" from="3168,5" to="2681,5" strokecolor="#ccc" strokeweight=".5pt"/>
            <v:line id="_x0000_s1240" style="position:absolute" from="5,5" to="1706,5" strokecolor="#ccc" strokeweight=".5pt"/>
            <v:line id="_x0000_s1239" style="position:absolute" from="1706,5" to="2193,5" strokecolor="#ccc" strokeweight=".5pt"/>
            <v:line id="_x0000_s1238" style="position:absolute" from="2193,5" to="2681,5" strokecolor="#ccc" strokeweight=".5pt"/>
            <v:line id="_x0000_s1237" style="position:absolute" from="2681,5" to="3168,5" strokecolor="#ccc" strokeweight=".5pt"/>
            <w10:wrap type="none"/>
            <w10:anchorlock/>
          </v:group>
        </w:pict>
      </w:r>
    </w:p>
    <w:p w:rsidR="00845E73" w:rsidRDefault="00032BC7">
      <w:pPr>
        <w:spacing w:before="53"/>
        <w:ind w:left="1870"/>
        <w:rPr>
          <w:sz w:val="14"/>
        </w:rPr>
      </w:pPr>
      <w:r>
        <w:rPr>
          <w:sz w:val="14"/>
        </w:rPr>
        <w:t>2017A   2018E 2019E</w:t>
      </w:r>
    </w:p>
    <w:p w:rsidR="00845E73" w:rsidRDefault="00845E73">
      <w:pPr>
        <w:pStyle w:val="BodyText"/>
        <w:spacing w:before="1"/>
        <w:rPr>
          <w:sz w:val="2"/>
        </w:rPr>
      </w:pPr>
    </w:p>
    <w:tbl>
      <w:tblPr>
        <w:tblW w:w="0" w:type="auto"/>
        <w:tblInd w:w="10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721"/>
        <w:gridCol w:w="528"/>
        <w:gridCol w:w="386"/>
      </w:tblGrid>
      <w:tr w:rsidR="00845E73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EPS (USD)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9.21</w:t>
            </w:r>
          </w:p>
        </w:tc>
        <w:tc>
          <w:tcPr>
            <w:tcW w:w="528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left="41" w:right="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10.45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9.70</w:t>
            </w:r>
          </w:p>
        </w:tc>
      </w:tr>
      <w:tr w:rsidR="00845E73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P/E (x)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14.9</w:t>
            </w:r>
          </w:p>
        </w:tc>
        <w:tc>
          <w:tcPr>
            <w:tcW w:w="528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left="41" w:right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16.2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17.5</w:t>
            </w:r>
          </w:p>
        </w:tc>
      </w:tr>
      <w:tr w:rsidR="00845E73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EV/EBITDA (x)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7.9</w:t>
            </w:r>
          </w:p>
        </w:tc>
        <w:tc>
          <w:tcPr>
            <w:tcW w:w="528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ind w:left="200" w:right="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8.8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 w:rsidR="00845E73" w:rsidRDefault="00032BC7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9.5</w:t>
            </w:r>
          </w:p>
        </w:tc>
      </w:tr>
      <w:tr w:rsidR="00845E73">
        <w:trPr>
          <w:trHeight w:val="160"/>
        </w:trPr>
        <w:tc>
          <w:tcPr>
            <w:tcW w:w="1529" w:type="dxa"/>
            <w:tcBorders>
              <w:left w:val="nil"/>
              <w:bottom w:val="single" w:sz="4" w:space="0" w:color="0098DB"/>
              <w:right w:val="nil"/>
            </w:tcBorders>
          </w:tcPr>
          <w:p w:rsidR="00845E73" w:rsidRDefault="00032BC7">
            <w:pPr>
              <w:pStyle w:val="TableParagraph"/>
              <w:spacing w:before="48" w:line="106" w:lineRule="exact"/>
              <w:ind w:left="85"/>
              <w:rPr>
                <w:i/>
                <w:sz w:val="10"/>
              </w:rPr>
            </w:pPr>
            <w:r>
              <w:rPr>
                <w:i/>
                <w:sz w:val="10"/>
              </w:rPr>
              <w:t>Source: Deutsche Bank</w:t>
            </w:r>
          </w:p>
        </w:tc>
        <w:tc>
          <w:tcPr>
            <w:tcW w:w="721" w:type="dxa"/>
            <w:tcBorders>
              <w:left w:val="nil"/>
              <w:bottom w:val="single" w:sz="4" w:space="0" w:color="0098DB"/>
              <w:right w:val="nil"/>
            </w:tcBorders>
          </w:tcPr>
          <w:p w:rsidR="00845E73" w:rsidRDefault="00845E7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28" w:type="dxa"/>
            <w:tcBorders>
              <w:left w:val="nil"/>
              <w:bottom w:val="single" w:sz="6" w:space="0" w:color="0098DB"/>
              <w:right w:val="nil"/>
            </w:tcBorders>
          </w:tcPr>
          <w:p w:rsidR="00845E73" w:rsidRDefault="00845E7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  <w:tcBorders>
              <w:left w:val="nil"/>
              <w:bottom w:val="single" w:sz="4" w:space="0" w:color="0098DB"/>
              <w:right w:val="single" w:sz="4" w:space="0" w:color="0098DB"/>
            </w:tcBorders>
          </w:tcPr>
          <w:p w:rsidR="00845E73" w:rsidRDefault="00845E7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 w:rsidR="00845E73" w:rsidRDefault="00845E73">
      <w:pPr>
        <w:pStyle w:val="BodyText"/>
        <w:rPr>
          <w:sz w:val="14"/>
        </w:rPr>
      </w:pPr>
    </w:p>
    <w:p w:rsidR="00845E73" w:rsidRDefault="00845E73">
      <w:pPr>
        <w:pStyle w:val="BodyText"/>
        <w:rPr>
          <w:sz w:val="14"/>
        </w:rPr>
      </w:pPr>
    </w:p>
    <w:p w:rsidR="00845E73" w:rsidRDefault="00845E73">
      <w:pPr>
        <w:pStyle w:val="BodyText"/>
        <w:rPr>
          <w:sz w:val="14"/>
        </w:rPr>
      </w:pPr>
    </w:p>
    <w:p w:rsidR="00845E73" w:rsidRDefault="00845E73">
      <w:pPr>
        <w:pStyle w:val="BodyText"/>
        <w:rPr>
          <w:sz w:val="14"/>
        </w:rPr>
      </w:pPr>
    </w:p>
    <w:p w:rsidR="00845E73" w:rsidRDefault="00845E73">
      <w:pPr>
        <w:pStyle w:val="BodyText"/>
        <w:rPr>
          <w:sz w:val="14"/>
        </w:rPr>
      </w:pPr>
    </w:p>
    <w:p w:rsidR="00845E73" w:rsidRDefault="00845E73">
      <w:pPr>
        <w:pStyle w:val="BodyText"/>
        <w:rPr>
          <w:sz w:val="14"/>
        </w:rPr>
      </w:pPr>
    </w:p>
    <w:p w:rsidR="00845E73" w:rsidRDefault="00845E73">
      <w:pPr>
        <w:pStyle w:val="BodyText"/>
        <w:rPr>
          <w:sz w:val="14"/>
        </w:rPr>
      </w:pPr>
    </w:p>
    <w:p w:rsidR="00845E73" w:rsidRDefault="00845E73">
      <w:pPr>
        <w:pStyle w:val="BodyText"/>
        <w:spacing w:before="4"/>
      </w:pPr>
    </w:p>
    <w:p w:rsidR="00845E73" w:rsidRDefault="00032BC7">
      <w:pPr>
        <w:spacing w:line="249" w:lineRule="auto"/>
        <w:ind w:left="254" w:right="103"/>
        <w:jc w:val="both"/>
        <w:rPr>
          <w:i/>
          <w:sz w:val="16"/>
        </w:rPr>
      </w:pPr>
      <w:r>
        <w:rPr>
          <w:i/>
          <w:w w:val="105"/>
          <w:sz w:val="16"/>
        </w:rPr>
        <w:t>Our price target is based on shares trading at 16x our FY-19E EPS. Upside risks include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>stronger-than-expected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 xml:space="preserve">smartphone sales and share gains, signiﬁcantly higher margins, and a faster ramp of new product categories including Watch and Apple </w:t>
      </w:r>
      <w:r>
        <w:rPr>
          <w:i/>
          <w:spacing w:val="-4"/>
          <w:w w:val="105"/>
          <w:sz w:val="16"/>
        </w:rPr>
        <w:t xml:space="preserve">Pay. </w:t>
      </w:r>
      <w:r>
        <w:rPr>
          <w:i/>
          <w:w w:val="105"/>
          <w:sz w:val="16"/>
        </w:rPr>
        <w:t>Downside risks include slower smartphone sales,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market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share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losses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smartphones, and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weaker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growth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Services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sales.</w:t>
      </w:r>
    </w:p>
    <w:p w:rsidR="00845E73" w:rsidRDefault="00845E73">
      <w:pPr>
        <w:spacing w:line="249" w:lineRule="auto"/>
        <w:jc w:val="both"/>
        <w:rPr>
          <w:sz w:val="16"/>
        </w:rPr>
        <w:sectPr w:rsidR="00845E73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6826" w:space="137"/>
            <w:col w:w="3547"/>
          </w:cols>
        </w:sectPr>
      </w:pPr>
    </w:p>
    <w:p w:rsidR="00845E73" w:rsidRDefault="00845E73">
      <w:pPr>
        <w:pStyle w:val="BodyText"/>
        <w:spacing w:before="5"/>
        <w:rPr>
          <w:i/>
          <w:sz w:val="29"/>
        </w:rPr>
      </w:pPr>
    </w:p>
    <w:p w:rsidR="00845E73" w:rsidRDefault="00032BC7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4" style="width:503.65pt;height:.5pt;mso-position-horizontal-relative:char;mso-position-vertical-relative:line" coordsize="10073,10">
            <v:line id="_x0000_s1235" style="position:absolute" from="5,5" to="10068,5" strokeweight=".5pt"/>
            <w10:wrap type="none"/>
            <w10:anchorlock/>
          </v:group>
        </w:pict>
      </w:r>
    </w:p>
    <w:p w:rsidR="00845E73" w:rsidRDefault="00845E73">
      <w:pPr>
        <w:spacing w:line="20" w:lineRule="exact"/>
        <w:rPr>
          <w:sz w:val="2"/>
        </w:rPr>
        <w:sectPr w:rsidR="00845E73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845E73" w:rsidRDefault="00032BC7">
      <w:pPr>
        <w:pStyle w:val="BodyText"/>
        <w:spacing w:before="58"/>
        <w:ind w:left="107"/>
      </w:pPr>
      <w:r>
        <w:rPr>
          <w:w w:val="105"/>
        </w:rPr>
        <w:t>Deutsche Bank Securities</w:t>
      </w:r>
      <w:r>
        <w:rPr>
          <w:spacing w:val="-21"/>
          <w:w w:val="105"/>
        </w:rPr>
        <w:t xml:space="preserve"> </w:t>
      </w:r>
      <w:r>
        <w:rPr>
          <w:w w:val="105"/>
        </w:rPr>
        <w:t>Inc.</w:t>
      </w:r>
    </w:p>
    <w:p w:rsidR="00845E73" w:rsidRDefault="00032BC7">
      <w:pPr>
        <w:pStyle w:val="BodyText"/>
        <w:spacing w:before="55"/>
        <w:ind w:left="107"/>
      </w:pPr>
      <w:r>
        <w:br w:type="column"/>
      </w:r>
      <w:r>
        <w:t>Distributed on: 10/12/2017 17:03:08 GMT</w:t>
      </w:r>
    </w:p>
    <w:p w:rsidR="00845E73" w:rsidRDefault="00845E73">
      <w:pPr>
        <w:sectPr w:rsidR="00845E73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2609" w:space="4137"/>
            <w:col w:w="3764"/>
          </w:cols>
        </w:sectPr>
      </w:pPr>
    </w:p>
    <w:p w:rsidR="00845E73" w:rsidRDefault="00032BC7">
      <w:pPr>
        <w:pStyle w:val="BodyText"/>
        <w:spacing w:before="69" w:line="254" w:lineRule="auto"/>
        <w:ind w:left="107" w:right="336"/>
        <w:jc w:val="both"/>
      </w:pPr>
      <w:r>
        <w:pict>
          <v:shape id="_x0000_s1233" type="#_x0000_t202" style="position:absolute;left:0;text-align:left;margin-left:45.35pt;margin-top:6.25pt;width:91.15pt;height:8pt;z-index:-30952;mso-position-horizontal-relative:page;mso-position-vertical-relative:page" filled="f" stroked="f">
            <v:textbox inset="0,0,0,0">
              <w:txbxContent>
                <w:p w:rsidR="00845E73" w:rsidRDefault="00032BC7">
                  <w:pPr>
                    <w:spacing w:line="154" w:lineRule="exac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Scribner's Slice of Apple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Deutsche</w:t>
      </w:r>
      <w:r>
        <w:rPr>
          <w:spacing w:val="-5"/>
          <w:w w:val="105"/>
        </w:rPr>
        <w:t xml:space="preserve"> </w:t>
      </w:r>
      <w:r>
        <w:rPr>
          <w:w w:val="105"/>
        </w:rPr>
        <w:t>Bank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seeks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business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companies</w:t>
      </w:r>
      <w:r>
        <w:rPr>
          <w:spacing w:val="-5"/>
          <w:w w:val="105"/>
        </w:rPr>
        <w:t xml:space="preserve"> </w:t>
      </w:r>
      <w:r>
        <w:rPr>
          <w:w w:val="105"/>
        </w:rPr>
        <w:t>covered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researc</w:t>
      </w:r>
      <w:r>
        <w:rPr>
          <w:w w:val="105"/>
        </w:rPr>
        <w:t>h</w:t>
      </w:r>
      <w:r>
        <w:rPr>
          <w:spacing w:val="-5"/>
          <w:w w:val="105"/>
        </w:rPr>
        <w:t xml:space="preserve"> </w:t>
      </w:r>
      <w:r>
        <w:rPr>
          <w:w w:val="105"/>
        </w:rPr>
        <w:t>reports.</w:t>
      </w:r>
      <w:r>
        <w:rPr>
          <w:spacing w:val="-5"/>
          <w:w w:val="105"/>
        </w:rPr>
        <w:t xml:space="preserve"> </w:t>
      </w:r>
      <w:r>
        <w:rPr>
          <w:w w:val="105"/>
        </w:rPr>
        <w:t>Thus,</w:t>
      </w:r>
      <w:r>
        <w:rPr>
          <w:spacing w:val="-5"/>
          <w:w w:val="105"/>
        </w:rPr>
        <w:t xml:space="preserve"> </w:t>
      </w:r>
      <w:r>
        <w:rPr>
          <w:w w:val="105"/>
        </w:rPr>
        <w:t>investors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 aware that the ﬁrm may have a conﬂict of interest that could aﬀect the objectivity of this report. Investors should consider this</w:t>
      </w:r>
      <w:r>
        <w:rPr>
          <w:spacing w:val="-6"/>
          <w:w w:val="105"/>
        </w:rPr>
        <w:t xml:space="preserve"> </w:t>
      </w: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single</w:t>
      </w:r>
      <w:r>
        <w:rPr>
          <w:spacing w:val="-6"/>
          <w:w w:val="105"/>
        </w:rPr>
        <w:t xml:space="preserve"> </w:t>
      </w:r>
      <w:r>
        <w:rPr>
          <w:w w:val="105"/>
        </w:rPr>
        <w:t>factor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investment</w:t>
      </w:r>
      <w:r>
        <w:rPr>
          <w:spacing w:val="-6"/>
          <w:w w:val="105"/>
        </w:rPr>
        <w:t xml:space="preserve"> </w:t>
      </w:r>
      <w:r>
        <w:rPr>
          <w:w w:val="105"/>
        </w:rPr>
        <w:t>decision.</w:t>
      </w:r>
      <w:r>
        <w:rPr>
          <w:spacing w:val="-6"/>
          <w:w w:val="105"/>
        </w:rPr>
        <w:t xml:space="preserve"> </w:t>
      </w:r>
      <w:r>
        <w:rPr>
          <w:w w:val="105"/>
        </w:rPr>
        <w:t>DISCLOSURES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ANALYST</w:t>
      </w:r>
      <w:r>
        <w:rPr>
          <w:spacing w:val="-6"/>
          <w:w w:val="105"/>
        </w:rPr>
        <w:t xml:space="preserve"> </w:t>
      </w:r>
      <w:r>
        <w:rPr>
          <w:w w:val="105"/>
        </w:rPr>
        <w:t>CERTIFICATIONS ARE</w:t>
      </w:r>
      <w:r>
        <w:rPr>
          <w:spacing w:val="-28"/>
          <w:w w:val="105"/>
        </w:rPr>
        <w:t xml:space="preserve"> </w:t>
      </w:r>
      <w:r>
        <w:rPr>
          <w:w w:val="105"/>
        </w:rPr>
        <w:t>LOCATED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APPENDIX</w:t>
      </w:r>
      <w:r>
        <w:rPr>
          <w:spacing w:val="-28"/>
          <w:w w:val="105"/>
        </w:rPr>
        <w:t xml:space="preserve"> </w:t>
      </w:r>
      <w:r>
        <w:rPr>
          <w:w w:val="105"/>
        </w:rPr>
        <w:t>1.</w:t>
      </w:r>
      <w:r>
        <w:rPr>
          <w:spacing w:val="-28"/>
          <w:w w:val="105"/>
        </w:rPr>
        <w:t xml:space="preserve"> </w:t>
      </w:r>
      <w:r>
        <w:rPr>
          <w:w w:val="105"/>
        </w:rPr>
        <w:t>MCI</w:t>
      </w:r>
      <w:r>
        <w:rPr>
          <w:spacing w:val="-28"/>
          <w:w w:val="105"/>
        </w:rPr>
        <w:t xml:space="preserve"> </w:t>
      </w:r>
      <w:r>
        <w:rPr>
          <w:w w:val="105"/>
        </w:rPr>
        <w:t>(P)</w:t>
      </w:r>
      <w:r>
        <w:rPr>
          <w:spacing w:val="-28"/>
          <w:w w:val="105"/>
        </w:rPr>
        <w:t xml:space="preserve"> </w:t>
      </w:r>
      <w:r>
        <w:rPr>
          <w:w w:val="105"/>
        </w:rPr>
        <w:t>083/04/2017.</w:t>
      </w:r>
    </w:p>
    <w:p w:rsidR="00845E73" w:rsidRDefault="00032BC7">
      <w:pPr>
        <w:spacing w:before="128"/>
        <w:ind w:left="5154"/>
        <w:rPr>
          <w:sz w:val="30"/>
        </w:rPr>
      </w:pPr>
      <w:r>
        <w:rPr>
          <w:sz w:val="30"/>
        </w:rPr>
        <w:t>7T2se3r0Ot6kwoPa</w:t>
      </w:r>
    </w:p>
    <w:p w:rsidR="00845E73" w:rsidRDefault="00845E73">
      <w:pPr>
        <w:rPr>
          <w:sz w:val="30"/>
        </w:rPr>
        <w:sectPr w:rsidR="00845E73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845E73" w:rsidRDefault="00845E73">
      <w:pPr>
        <w:pStyle w:val="BodyText"/>
        <w:spacing w:before="6"/>
        <w:rPr>
          <w:sz w:val="16"/>
        </w:rPr>
      </w:pPr>
    </w:p>
    <w:p w:rsidR="00845E73" w:rsidRDefault="00032BC7">
      <w:pPr>
        <w:pStyle w:val="BodyText"/>
        <w:spacing w:before="67" w:line="278" w:lineRule="auto"/>
        <w:ind w:left="127" w:right="3717"/>
      </w:pPr>
      <w:bookmarkStart w:id="5" w:name="Page_2"/>
      <w:bookmarkStart w:id="6" w:name="Temporary_HomeKit_security_bug_fix_disab"/>
      <w:bookmarkStart w:id="7" w:name="Former_head_of_Apple_health_team_forming"/>
      <w:bookmarkStart w:id="8" w:name="Escrow_fund_for_back_taxes_moves_forward"/>
      <w:bookmarkStart w:id="9" w:name="Apple_touts_user_privacy_protections_on_"/>
      <w:bookmarkStart w:id="10" w:name="Another_TV_veteran_bolsters_Apple"/>
      <w:bookmarkEnd w:id="5"/>
      <w:bookmarkEnd w:id="6"/>
      <w:bookmarkEnd w:id="7"/>
      <w:bookmarkEnd w:id="8"/>
      <w:bookmarkEnd w:id="9"/>
      <w:bookmarkEnd w:id="10"/>
      <w:r>
        <w:rPr>
          <w:w w:val="105"/>
        </w:rPr>
        <w:t>(https://techcrunch.com/2017/12/07/apple-issues-ﬁx-for-homekit-vulnerability- impacting-smart-locks-and-other-devices/)</w:t>
      </w:r>
    </w:p>
    <w:p w:rsidR="00845E73" w:rsidRDefault="00845E73">
      <w:pPr>
        <w:pStyle w:val="BodyText"/>
        <w:spacing w:before="7"/>
        <w:rPr>
          <w:sz w:val="19"/>
        </w:rPr>
      </w:pPr>
    </w:p>
    <w:p w:rsidR="00845E73" w:rsidRDefault="00032BC7">
      <w:pPr>
        <w:pStyle w:val="BodyText"/>
        <w:ind w:left="127"/>
        <w:jc w:val="both"/>
      </w:pPr>
      <w:r>
        <w:rPr>
          <w:color w:val="0098DB"/>
          <w:w w:val="105"/>
        </w:rPr>
        <w:t>Former head of Apple health team</w:t>
      </w:r>
      <w:r>
        <w:rPr>
          <w:color w:val="0098DB"/>
          <w:w w:val="105"/>
        </w:rPr>
        <w:t xml:space="preserve"> forming medical records start-up</w:t>
      </w:r>
    </w:p>
    <w:p w:rsidR="00845E73" w:rsidRDefault="00032BC7">
      <w:pPr>
        <w:pStyle w:val="BodyText"/>
        <w:spacing w:before="2" w:line="278" w:lineRule="auto"/>
        <w:ind w:left="127" w:right="3501"/>
        <w:jc w:val="both"/>
      </w:pPr>
      <w:r>
        <w:rPr>
          <w:w w:val="110"/>
        </w:rPr>
        <w:t>Anil Sethi, former Director of Apple's health technology practice, has left the company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form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medical</w:t>
      </w:r>
      <w:r>
        <w:rPr>
          <w:spacing w:val="-23"/>
          <w:w w:val="110"/>
        </w:rPr>
        <w:t xml:space="preserve"> </w:t>
      </w:r>
      <w:r>
        <w:rPr>
          <w:w w:val="110"/>
        </w:rPr>
        <w:t>start-up</w:t>
      </w:r>
      <w:r>
        <w:rPr>
          <w:spacing w:val="-23"/>
          <w:w w:val="110"/>
        </w:rPr>
        <w:t xml:space="preserve"> </w:t>
      </w:r>
      <w:r>
        <w:rPr>
          <w:w w:val="110"/>
        </w:rPr>
        <w:t>called</w:t>
      </w:r>
      <w:r>
        <w:rPr>
          <w:spacing w:val="-23"/>
          <w:w w:val="110"/>
        </w:rPr>
        <w:t xml:space="preserve"> </w:t>
      </w:r>
      <w:r>
        <w:rPr>
          <w:w w:val="110"/>
        </w:rPr>
        <w:t>Citizen,</w:t>
      </w:r>
      <w:r>
        <w:rPr>
          <w:spacing w:val="-23"/>
          <w:w w:val="110"/>
        </w:rPr>
        <w:t xml:space="preserve"> </w:t>
      </w:r>
      <w:r>
        <w:rPr>
          <w:w w:val="110"/>
        </w:rPr>
        <w:t>according</w:t>
      </w:r>
      <w:r>
        <w:rPr>
          <w:spacing w:val="-23"/>
          <w:w w:val="110"/>
        </w:rPr>
        <w:t xml:space="preserve"> </w:t>
      </w:r>
      <w:r>
        <w:rPr>
          <w:w w:val="110"/>
        </w:rPr>
        <w:t>CNBC.</w:t>
      </w:r>
      <w:r>
        <w:rPr>
          <w:spacing w:val="-23"/>
          <w:w w:val="110"/>
        </w:rPr>
        <w:t xml:space="preserve"> </w:t>
      </w:r>
      <w:r>
        <w:rPr>
          <w:w w:val="110"/>
        </w:rPr>
        <w:t>Citizen</w:t>
      </w:r>
      <w:r>
        <w:rPr>
          <w:spacing w:val="-23"/>
          <w:w w:val="110"/>
        </w:rPr>
        <w:t xml:space="preserve"> </w:t>
      </w:r>
      <w:r>
        <w:rPr>
          <w:w w:val="110"/>
        </w:rPr>
        <w:t>will focus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facilitating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access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medical</w:t>
      </w:r>
      <w:r>
        <w:rPr>
          <w:spacing w:val="-11"/>
          <w:w w:val="110"/>
        </w:rPr>
        <w:t xml:space="preserve"> </w:t>
      </w:r>
      <w:r>
        <w:rPr>
          <w:w w:val="110"/>
        </w:rPr>
        <w:t>records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ability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share </w:t>
      </w:r>
      <w:r>
        <w:rPr>
          <w:w w:val="105"/>
        </w:rPr>
        <w:t>with researchers and</w:t>
      </w:r>
      <w:r>
        <w:rPr>
          <w:spacing w:val="13"/>
          <w:w w:val="105"/>
        </w:rPr>
        <w:t xml:space="preserve"> </w:t>
      </w:r>
      <w:r>
        <w:rPr>
          <w:w w:val="105"/>
        </w:rPr>
        <w:t>practitioners.</w:t>
      </w:r>
    </w:p>
    <w:p w:rsidR="00845E73" w:rsidRDefault="00032BC7">
      <w:pPr>
        <w:pStyle w:val="BodyText"/>
        <w:spacing w:before="1" w:line="278" w:lineRule="auto"/>
        <w:ind w:left="127" w:right="3773"/>
      </w:pPr>
      <w:r>
        <w:rPr>
          <w:w w:val="105"/>
        </w:rPr>
        <w:t>(ht</w:t>
      </w:r>
      <w:hyperlink r:id="rId13">
        <w:r>
          <w:rPr>
            <w:w w:val="105"/>
          </w:rPr>
          <w:t>tps://www.cnbc.com/2017/12/07/apple-heal</w:t>
        </w:r>
      </w:hyperlink>
      <w:r>
        <w:rPr>
          <w:w w:val="105"/>
        </w:rPr>
        <w:t>th-d</w:t>
      </w:r>
      <w:hyperlink r:id="rId14">
        <w:r>
          <w:rPr>
            <w:w w:val="105"/>
          </w:rPr>
          <w:t>irector-anil-sethi-lea</w:t>
        </w:r>
      </w:hyperlink>
      <w:r>
        <w:rPr>
          <w:w w:val="105"/>
        </w:rPr>
        <w:t>v</w:t>
      </w:r>
      <w:hyperlink r:id="rId15">
        <w:r>
          <w:rPr>
            <w:w w:val="105"/>
          </w:rPr>
          <w:t>es-to-</w:t>
        </w:r>
      </w:hyperlink>
      <w:r>
        <w:rPr>
          <w:w w:val="105"/>
        </w:rPr>
        <w:t xml:space="preserve"> build-cancer-start-up.html?</w:t>
      </w:r>
      <w:r>
        <w:rPr>
          <w:w w:val="105"/>
          <w:u w:val="single"/>
        </w:rPr>
        <w:t xml:space="preserve">    </w:t>
      </w:r>
      <w:r>
        <w:rPr>
          <w:w w:val="105"/>
        </w:rPr>
        <w:t>source=twitter%7Cmain)</w:t>
      </w:r>
    </w:p>
    <w:p w:rsidR="00845E73" w:rsidRDefault="00845E73">
      <w:pPr>
        <w:pStyle w:val="BodyText"/>
        <w:spacing w:before="6"/>
        <w:rPr>
          <w:sz w:val="19"/>
        </w:rPr>
      </w:pPr>
    </w:p>
    <w:p w:rsidR="00845E73" w:rsidRDefault="00032BC7">
      <w:pPr>
        <w:pStyle w:val="BodyText"/>
        <w:ind w:left="127"/>
        <w:jc w:val="both"/>
      </w:pPr>
      <w:r>
        <w:rPr>
          <w:color w:val="0098DB"/>
          <w:w w:val="110"/>
        </w:rPr>
        <w:t>Escrow fund for back taxes moves forward</w:t>
      </w:r>
    </w:p>
    <w:p w:rsidR="00845E73" w:rsidRDefault="00032BC7">
      <w:pPr>
        <w:pStyle w:val="BodyText"/>
        <w:spacing w:before="1" w:line="278" w:lineRule="auto"/>
        <w:ind w:left="127" w:right="3501"/>
        <w:jc w:val="both"/>
      </w:pPr>
      <w:r>
        <w:rPr>
          <w:w w:val="105"/>
        </w:rPr>
        <w:t>Apple and Ireland have reportedly agreed to the administrative terms of an escrow account to hold funds that the European Commission (EC) ruled Apple owes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back</w:t>
      </w:r>
      <w:r>
        <w:rPr>
          <w:spacing w:val="-7"/>
          <w:w w:val="105"/>
        </w:rPr>
        <w:t xml:space="preserve"> </w:t>
      </w:r>
      <w:r>
        <w:rPr>
          <w:w w:val="105"/>
        </w:rPr>
        <w:t>taxes,</w:t>
      </w:r>
      <w:r>
        <w:rPr>
          <w:spacing w:val="-7"/>
          <w:w w:val="105"/>
        </w:rPr>
        <w:t xml:space="preserve"> </w:t>
      </w:r>
      <w:r>
        <w:rPr>
          <w:w w:val="105"/>
        </w:rPr>
        <w:t>according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Reuters.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Irish</w:t>
      </w:r>
      <w:r>
        <w:rPr>
          <w:spacing w:val="-7"/>
          <w:w w:val="105"/>
        </w:rPr>
        <w:t xml:space="preserve"> </w:t>
      </w:r>
      <w:r>
        <w:rPr>
          <w:w w:val="105"/>
        </w:rPr>
        <w:t>Finance</w:t>
      </w:r>
      <w:r>
        <w:rPr>
          <w:spacing w:val="-7"/>
          <w:w w:val="105"/>
        </w:rPr>
        <w:t xml:space="preserve"> </w:t>
      </w:r>
      <w:r>
        <w:rPr>
          <w:w w:val="105"/>
        </w:rPr>
        <w:t>Minister</w:t>
      </w:r>
      <w:r>
        <w:rPr>
          <w:spacing w:val="-7"/>
          <w:w w:val="105"/>
        </w:rPr>
        <w:t xml:space="preserve"> </w:t>
      </w:r>
      <w:r>
        <w:rPr>
          <w:w w:val="105"/>
        </w:rPr>
        <w:t>believes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the agreement paves the way </w:t>
      </w:r>
      <w:r>
        <w:rPr>
          <w:w w:val="105"/>
        </w:rPr>
        <w:t>for Apple to deposit up to 13B euros in the account in C1Q-18. As we have written in previous Slices, Apple and Ireland are currently appealing the EC's August 2016 ruling that Ireland illegally provided Apple with tax</w:t>
      </w:r>
      <w:r>
        <w:rPr>
          <w:spacing w:val="6"/>
          <w:w w:val="105"/>
        </w:rPr>
        <w:t xml:space="preserve"> </w:t>
      </w:r>
      <w:r>
        <w:rPr>
          <w:w w:val="105"/>
        </w:rPr>
        <w:t>beneﬁts.</w:t>
      </w:r>
    </w:p>
    <w:p w:rsidR="00845E73" w:rsidRDefault="00032BC7">
      <w:pPr>
        <w:pStyle w:val="BodyText"/>
        <w:spacing w:before="1" w:line="278" w:lineRule="auto"/>
        <w:ind w:left="127" w:right="4002"/>
      </w:pPr>
      <w:r>
        <w:rPr>
          <w:w w:val="105"/>
        </w:rPr>
        <w:t>(ht</w:t>
      </w:r>
      <w:hyperlink r:id="rId16">
        <w:r>
          <w:rPr>
            <w:w w:val="105"/>
          </w:rPr>
          <w:t>tps://www.reuters.com/article/us-eu-apple-ireland-taxa</w:t>
        </w:r>
      </w:hyperlink>
      <w:r>
        <w:rPr>
          <w:w w:val="105"/>
        </w:rPr>
        <w:t>v</w:t>
      </w:r>
      <w:hyperlink r:id="rId17">
        <w:r>
          <w:rPr>
            <w:w w:val="105"/>
          </w:rPr>
          <w:t>oidance/ireland-</w:t>
        </w:r>
      </w:hyperlink>
      <w:r>
        <w:rPr>
          <w:w w:val="105"/>
        </w:rPr>
        <w:t xml:space="preserve"> ex</w:t>
      </w:r>
      <w:r>
        <w:rPr>
          <w:w w:val="105"/>
        </w:rPr>
        <w:t>pects-apple-back-tax-in-escrow-account-in-ﬁrst-quarter-2018-minister- idUSKBN1DY1M3)</w:t>
      </w:r>
    </w:p>
    <w:p w:rsidR="00845E73" w:rsidRDefault="00845E73">
      <w:pPr>
        <w:pStyle w:val="BodyText"/>
        <w:spacing w:before="7"/>
        <w:rPr>
          <w:sz w:val="19"/>
        </w:rPr>
      </w:pPr>
    </w:p>
    <w:p w:rsidR="00845E73" w:rsidRDefault="00032BC7">
      <w:pPr>
        <w:pStyle w:val="BodyText"/>
        <w:ind w:left="127"/>
        <w:jc w:val="both"/>
      </w:pPr>
      <w:r>
        <w:rPr>
          <w:color w:val="0098DB"/>
          <w:w w:val="105"/>
        </w:rPr>
        <w:t>Apple touts user privacy protections on its machine learning blog</w:t>
      </w:r>
    </w:p>
    <w:p w:rsidR="00845E73" w:rsidRDefault="00032BC7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Apple has published a paper on its online Machine Learning Journal describing the</w:t>
      </w:r>
      <w:r>
        <w:rPr>
          <w:spacing w:val="-16"/>
          <w:w w:val="105"/>
        </w:rPr>
        <w:t xml:space="preserve"> </w:t>
      </w:r>
      <w:r>
        <w:rPr>
          <w:w w:val="105"/>
        </w:rPr>
        <w:t>company's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diﬀer</w:t>
      </w:r>
      <w:r>
        <w:rPr>
          <w:w w:val="105"/>
        </w:rPr>
        <w:t>ential</w:t>
      </w:r>
      <w:r>
        <w:rPr>
          <w:spacing w:val="-16"/>
          <w:w w:val="105"/>
        </w:rPr>
        <w:t xml:space="preserve"> </w:t>
      </w:r>
      <w:r>
        <w:rPr>
          <w:w w:val="105"/>
        </w:rPr>
        <w:t>privacy.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approach,</w:t>
      </w:r>
      <w:r>
        <w:rPr>
          <w:spacing w:val="-16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adds</w:t>
      </w:r>
      <w:r>
        <w:rPr>
          <w:spacing w:val="-16"/>
          <w:w w:val="105"/>
        </w:rPr>
        <w:t xml:space="preserve"> </w:t>
      </w:r>
      <w:r>
        <w:rPr>
          <w:w w:val="105"/>
        </w:rPr>
        <w:t>random</w:t>
      </w:r>
      <w:r>
        <w:rPr>
          <w:spacing w:val="-16"/>
          <w:w w:val="105"/>
        </w:rPr>
        <w:t xml:space="preserve"> </w:t>
      </w:r>
      <w:r>
        <w:rPr>
          <w:w w:val="105"/>
        </w:rPr>
        <w:t>noise to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user's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before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collected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centralized</w:t>
      </w:r>
      <w:r>
        <w:rPr>
          <w:spacing w:val="-11"/>
          <w:w w:val="105"/>
        </w:rPr>
        <w:t xml:space="preserve"> </w:t>
      </w:r>
      <w:r>
        <w:rPr>
          <w:w w:val="105"/>
        </w:rPr>
        <w:t>server,</w:t>
      </w:r>
      <w:r>
        <w:rPr>
          <w:spacing w:val="-11"/>
          <w:w w:val="105"/>
        </w:rPr>
        <w:t xml:space="preserve"> </w:t>
      </w:r>
      <w:r>
        <w:rPr>
          <w:w w:val="105"/>
        </w:rPr>
        <w:t>purports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mine</w:t>
      </w:r>
      <w:r>
        <w:rPr>
          <w:spacing w:val="-11"/>
          <w:w w:val="105"/>
        </w:rPr>
        <w:t xml:space="preserve"> </w:t>
      </w:r>
      <w:r>
        <w:rPr>
          <w:w w:val="105"/>
        </w:rPr>
        <w:t>data while respecting user</w:t>
      </w:r>
      <w:r>
        <w:rPr>
          <w:spacing w:val="5"/>
          <w:w w:val="105"/>
        </w:rPr>
        <w:t xml:space="preserve"> </w:t>
      </w:r>
      <w:r>
        <w:rPr>
          <w:w w:val="105"/>
        </w:rPr>
        <w:t>privacy.</w:t>
      </w:r>
    </w:p>
    <w:p w:rsidR="00845E73" w:rsidRDefault="00032BC7">
      <w:pPr>
        <w:pStyle w:val="BodyText"/>
        <w:spacing w:before="1" w:line="278" w:lineRule="auto"/>
        <w:ind w:left="127" w:right="3717"/>
      </w:pPr>
      <w:r>
        <w:rPr>
          <w:w w:val="105"/>
        </w:rPr>
        <w:t>(https://machinelearning.apple.com/docs/learning-with-privacy-at-scale/ applediﬀeren</w:t>
      </w:r>
      <w:r>
        <w:rPr>
          <w:w w:val="105"/>
        </w:rPr>
        <w:t>tialprivacysystem.pdf)</w:t>
      </w:r>
    </w:p>
    <w:p w:rsidR="00845E73" w:rsidRDefault="00845E73">
      <w:pPr>
        <w:pStyle w:val="BodyText"/>
        <w:spacing w:before="6"/>
        <w:rPr>
          <w:sz w:val="19"/>
        </w:rPr>
      </w:pPr>
    </w:p>
    <w:p w:rsidR="00845E73" w:rsidRDefault="00032BC7">
      <w:pPr>
        <w:pStyle w:val="BodyText"/>
        <w:ind w:left="127"/>
        <w:jc w:val="both"/>
      </w:pPr>
      <w:r>
        <w:rPr>
          <w:color w:val="0098DB"/>
          <w:w w:val="105"/>
        </w:rPr>
        <w:t>Another TV veteran bolsters Apple's video team</w:t>
      </w:r>
    </w:p>
    <w:p w:rsidR="00845E73" w:rsidRDefault="00032BC7">
      <w:pPr>
        <w:pStyle w:val="BodyText"/>
        <w:spacing w:before="1" w:line="278" w:lineRule="auto"/>
        <w:ind w:left="127" w:right="3501"/>
        <w:jc w:val="both"/>
      </w:pPr>
      <w:r>
        <w:rPr>
          <w:w w:val="105"/>
        </w:rPr>
        <w:t xml:space="preserve">Michelle Lee, a developer and executive producer of TV series for CBS, NBC, and Hulu, has joined Apple's Worldwide Video division as a creative executive, according to </w:t>
      </w:r>
      <w:r>
        <w:rPr>
          <w:spacing w:val="-3"/>
          <w:w w:val="105"/>
        </w:rPr>
        <w:t xml:space="preserve">Variety. </w:t>
      </w:r>
      <w:r>
        <w:rPr>
          <w:w w:val="105"/>
        </w:rPr>
        <w:t>Ms. Lee,</w:t>
      </w:r>
      <w:r>
        <w:rPr>
          <w:w w:val="105"/>
        </w:rPr>
        <w:t xml:space="preserve"> who had served as producing partner at Universal Television-based </w:t>
      </w:r>
      <w:r>
        <w:rPr>
          <w:spacing w:val="-4"/>
          <w:w w:val="105"/>
        </w:rPr>
        <w:t xml:space="preserve">True </w:t>
      </w:r>
      <w:r>
        <w:rPr>
          <w:w w:val="105"/>
        </w:rPr>
        <w:t>Jack Productions since 2012, will focus on Apple's foray into series programming.</w:t>
      </w:r>
    </w:p>
    <w:p w:rsidR="00845E73" w:rsidRDefault="00032BC7">
      <w:pPr>
        <w:pStyle w:val="BodyText"/>
        <w:spacing w:before="1"/>
        <w:ind w:left="127"/>
        <w:jc w:val="both"/>
      </w:pPr>
      <w:hyperlink r:id="rId18">
        <w:r>
          <w:rPr>
            <w:w w:val="105"/>
          </w:rPr>
          <w:t>(http://variety.com/2017/tv/news/michelle-lee-apple-1202631849/)</w:t>
        </w:r>
      </w:hyperlink>
    </w:p>
    <w:p w:rsidR="00845E73" w:rsidRDefault="00845E73">
      <w:pPr>
        <w:jc w:val="both"/>
        <w:sectPr w:rsidR="00845E73">
          <w:headerReference w:type="even" r:id="rId19"/>
          <w:headerReference w:type="default" r:id="rId20"/>
          <w:footerReference w:type="even" r:id="rId21"/>
          <w:footerReference w:type="default" r:id="rId22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845E73" w:rsidRDefault="00845E73">
      <w:pPr>
        <w:sectPr w:rsidR="00845E73">
          <w:type w:val="continuous"/>
          <w:pgSz w:w="11910" w:h="15840"/>
          <w:pgMar w:top="0" w:right="320" w:bottom="0" w:left="780" w:header="720" w:footer="720" w:gutter="0"/>
          <w:cols w:space="720"/>
        </w:sectPr>
      </w:pPr>
    </w:p>
    <w:p w:rsidR="00845E73" w:rsidRDefault="00845E73">
      <w:pPr>
        <w:pStyle w:val="BodyText"/>
        <w:spacing w:before="9"/>
        <w:rPr>
          <w:b/>
        </w:rPr>
      </w:pPr>
    </w:p>
    <w:p w:rsidR="00845E73" w:rsidRDefault="00032BC7">
      <w:pPr>
        <w:spacing w:before="2"/>
        <w:ind w:left="127"/>
        <w:rPr>
          <w:sz w:val="52"/>
        </w:rPr>
      </w:pPr>
      <w:bookmarkStart w:id="11" w:name="Page_4"/>
      <w:bookmarkStart w:id="12" w:name="Apple_Investment_Thesis"/>
      <w:bookmarkStart w:id="13" w:name="Outlook"/>
      <w:bookmarkStart w:id="14" w:name="Valuation"/>
      <w:bookmarkStart w:id="15" w:name="Risks"/>
      <w:bookmarkEnd w:id="11"/>
      <w:bookmarkEnd w:id="12"/>
      <w:bookmarkEnd w:id="13"/>
      <w:bookmarkEnd w:id="14"/>
      <w:bookmarkEnd w:id="15"/>
      <w:r>
        <w:rPr>
          <w:color w:val="0098DB"/>
          <w:w w:val="105"/>
          <w:sz w:val="52"/>
        </w:rPr>
        <w:t>Apple Investment Thesis</w:t>
      </w:r>
    </w:p>
    <w:p w:rsidR="00845E73" w:rsidRDefault="00032BC7">
      <w:pPr>
        <w:pStyle w:val="BodyText"/>
        <w:spacing w:before="1"/>
        <w:rPr>
          <w:sz w:val="23"/>
        </w:rPr>
      </w:pPr>
      <w:r>
        <w:pict>
          <v:line id="_x0000_s1108" style="position:absolute;z-index:2464;mso-wrap-distance-left:0;mso-wrap-distance-right:0;mso-position-horizontal-relative:page" from="45.35pt,15.4pt" to="376.55pt,15.4pt" strokeweight=".25pt">
            <w10:wrap type="topAndBottom" anchorx="page"/>
          </v:line>
        </w:pict>
      </w:r>
    </w:p>
    <w:p w:rsidR="00845E73" w:rsidRDefault="00032BC7">
      <w:pPr>
        <w:spacing w:before="12"/>
        <w:ind w:left="127"/>
        <w:jc w:val="both"/>
        <w:rPr>
          <w:sz w:val="24"/>
        </w:rPr>
      </w:pPr>
      <w:r>
        <w:rPr>
          <w:color w:val="0098DB"/>
          <w:w w:val="105"/>
          <w:sz w:val="24"/>
        </w:rPr>
        <w:t>Outlook</w:t>
      </w:r>
    </w:p>
    <w:p w:rsidR="00845E73" w:rsidRDefault="00032BC7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a dominant position in smartphones and tablets where its products represent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gold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segments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oﬀer good growth opportunities, particularly smartphones, allowing Apple to outgrow overall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spending.</w:t>
      </w:r>
      <w:r>
        <w:rPr>
          <w:spacing w:val="-14"/>
          <w:w w:val="105"/>
        </w:rPr>
        <w:t xml:space="preserve"> </w:t>
      </w:r>
      <w:r>
        <w:rPr>
          <w:w w:val="105"/>
        </w:rPr>
        <w:t>Despite</w:t>
      </w:r>
      <w:r>
        <w:rPr>
          <w:spacing w:val="-14"/>
          <w:w w:val="105"/>
        </w:rPr>
        <w:t xml:space="preserve"> </w:t>
      </w:r>
      <w:r>
        <w:rPr>
          <w:w w:val="105"/>
        </w:rPr>
        <w:t>healthy</w:t>
      </w:r>
      <w:r>
        <w:rPr>
          <w:spacing w:val="-14"/>
          <w:w w:val="105"/>
        </w:rPr>
        <w:t xml:space="preserve"> </w:t>
      </w:r>
      <w:r>
        <w:rPr>
          <w:w w:val="105"/>
        </w:rPr>
        <w:t>growth,</w:t>
      </w:r>
      <w:r>
        <w:rPr>
          <w:spacing w:val="-14"/>
          <w:w w:val="105"/>
        </w:rPr>
        <w:t xml:space="preserve"> </w:t>
      </w:r>
      <w:r>
        <w:rPr>
          <w:w w:val="105"/>
        </w:rPr>
        <w:t>slowing</w:t>
      </w:r>
      <w:r>
        <w:rPr>
          <w:spacing w:val="-1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tablet</w:t>
      </w:r>
      <w:r>
        <w:rPr>
          <w:spacing w:val="-14"/>
          <w:w w:val="105"/>
        </w:rPr>
        <w:t xml:space="preserve"> </w:t>
      </w:r>
      <w:r>
        <w:rPr>
          <w:w w:val="105"/>
        </w:rPr>
        <w:t>sales, as well as Apple’s already s</w:t>
      </w:r>
      <w:r>
        <w:rPr>
          <w:w w:val="105"/>
        </w:rPr>
        <w:t>igniﬁcant revenue levels suggest growth will be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more diﬃcult going forward. With puts and takes currently balanced, in our </w:t>
      </w:r>
      <w:r>
        <w:rPr>
          <w:spacing w:val="-3"/>
          <w:w w:val="105"/>
        </w:rPr>
        <w:t xml:space="preserve">view, </w:t>
      </w:r>
      <w:r>
        <w:rPr>
          <w:w w:val="105"/>
        </w:rPr>
        <w:t>we consider shares as fairly valued and rate Apple a</w:t>
      </w:r>
      <w:r>
        <w:rPr>
          <w:spacing w:val="-33"/>
          <w:w w:val="105"/>
        </w:rPr>
        <w:t xml:space="preserve"> </w:t>
      </w:r>
      <w:r>
        <w:rPr>
          <w:w w:val="105"/>
        </w:rPr>
        <w:t>Hold.</w:t>
      </w:r>
    </w:p>
    <w:p w:rsidR="00845E73" w:rsidRDefault="00032BC7">
      <w:pPr>
        <w:pStyle w:val="BodyText"/>
        <w:spacing w:before="11"/>
      </w:pPr>
      <w:r>
        <w:pict>
          <v:line id="_x0000_s1107" style="position:absolute;z-index:2488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845E73" w:rsidRDefault="00032BC7">
      <w:pPr>
        <w:pStyle w:val="Heading2"/>
        <w:jc w:val="both"/>
      </w:pPr>
      <w:r>
        <w:rPr>
          <w:color w:val="0098DB"/>
          <w:w w:val="105"/>
        </w:rPr>
        <w:t>Valuation</w:t>
      </w:r>
    </w:p>
    <w:p w:rsidR="00845E73" w:rsidRDefault="00032BC7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of  9x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16x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845E73" w:rsidRDefault="00032BC7">
      <w:pPr>
        <w:pStyle w:val="BodyText"/>
        <w:spacing w:before="11"/>
      </w:pPr>
      <w:r>
        <w:pict>
          <v:line id="_x0000_s1106" style="position:absolute;z-index:2512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845E73" w:rsidRDefault="00032BC7">
      <w:pPr>
        <w:pStyle w:val="Heading2"/>
        <w:jc w:val="both"/>
      </w:pPr>
      <w:r>
        <w:rPr>
          <w:color w:val="0098DB"/>
        </w:rPr>
        <w:t>Risks</w:t>
      </w:r>
    </w:p>
    <w:p w:rsidR="00845E73" w:rsidRDefault="00032BC7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>ramp of new product c</w:t>
      </w:r>
      <w:r>
        <w:rPr>
          <w:w w:val="105"/>
        </w:rPr>
        <w:t xml:space="preserve">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845E73" w:rsidRDefault="00845E73">
      <w:pPr>
        <w:spacing w:line="278" w:lineRule="auto"/>
        <w:jc w:val="both"/>
        <w:sectPr w:rsidR="00845E73">
          <w:pgSz w:w="11910" w:h="15840"/>
          <w:pgMar w:top="1260" w:right="780" w:bottom="1000" w:left="780" w:header="495" w:footer="816" w:gutter="0"/>
          <w:cols w:space="720"/>
        </w:sectPr>
      </w:pPr>
    </w:p>
    <w:p w:rsidR="00845E73" w:rsidRDefault="00845E73">
      <w:pPr>
        <w:pStyle w:val="BodyText"/>
        <w:spacing w:before="9"/>
        <w:rPr>
          <w:sz w:val="25"/>
        </w:rPr>
      </w:pPr>
      <w:bookmarkStart w:id="16" w:name="_GoBack"/>
      <w:bookmarkEnd w:id="16"/>
    </w:p>
    <w:sectPr w:rsidR="00845E73" w:rsidSect="00B544CB">
      <w:pgSz w:w="11910" w:h="15840"/>
      <w:pgMar w:top="1200" w:right="760" w:bottom="1000" w:left="780" w:header="42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BC7" w:rsidRDefault="00032BC7">
      <w:r>
        <w:separator/>
      </w:r>
    </w:p>
  </w:endnote>
  <w:endnote w:type="continuationSeparator" w:id="0">
    <w:p w:rsidR="00032BC7" w:rsidRDefault="0003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73" w:rsidRDefault="00032BC7">
    <w:pPr>
      <w:pStyle w:val="BodyText"/>
      <w:spacing w:line="14" w:lineRule="auto"/>
      <w:rPr>
        <w:sz w:val="20"/>
      </w:rPr>
    </w:pPr>
    <w:r>
      <w:pict>
        <v:line id="_x0000_s2054" style="position:absolute;z-index:-31120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.35pt;margin-top:747.5pt;width:32.85pt;height:10pt;z-index:-31096;mso-position-horizontal-relative:page;mso-position-vertical-relative:page" filled="f" stroked="f">
          <v:textbox inset="0,0,0,0">
            <w:txbxContent>
              <w:p w:rsidR="00845E73" w:rsidRDefault="00032BC7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544CB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36.35pt;margin-top:748.6pt;width:113.2pt;height:10pt;z-index:-31072;mso-position-horizontal-relative:page;mso-position-vertical-relative:page" filled="f" stroked="f">
          <v:textbox inset="0,0,0,0">
            <w:txbxContent>
              <w:p w:rsidR="00845E73" w:rsidRDefault="00032BC7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73" w:rsidRDefault="00032BC7">
    <w:pPr>
      <w:pStyle w:val="BodyText"/>
      <w:spacing w:line="14" w:lineRule="auto"/>
      <w:rPr>
        <w:sz w:val="20"/>
      </w:rPr>
    </w:pPr>
    <w:r>
      <w:pict>
        <v:line id="_x0000_s2051" style="position:absolute;z-index:-31048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5pt;margin-top:747.5pt;width:113.2pt;height:10pt;z-index:-31024;mso-position-horizontal-relative:page;mso-position-vertical-relative:page" filled="f" stroked="f">
          <v:textbox inset="0,0,0,0">
            <w:txbxContent>
              <w:p w:rsidR="00845E73" w:rsidRDefault="00032BC7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Deutsche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Bank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Securities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35pt;margin-top:748.6pt;width:28.2pt;height:10pt;z-index:-31000;mso-position-horizontal-relative:page;mso-position-vertical-relative:page" filled="f" stroked="f">
          <v:textbox inset="0,0,0,0">
            <w:txbxContent>
              <w:p w:rsidR="00845E73" w:rsidRDefault="00032BC7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Lucida Sans Unicode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544CB">
                  <w:rPr>
                    <w:rFonts w:ascii="Lucida Sans Unicode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BC7" w:rsidRDefault="00032BC7">
      <w:r>
        <w:separator/>
      </w:r>
    </w:p>
  </w:footnote>
  <w:footnote w:type="continuationSeparator" w:id="0">
    <w:p w:rsidR="00032BC7" w:rsidRDefault="0003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73" w:rsidRDefault="00032BC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239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.35pt;margin-top:25.3pt;width:115.6pt;height:34.9pt;z-index:-31192;mso-position-horizontal-relative:page;mso-position-vertical-relative:page" filled="f" stroked="f">
          <v:textbox inset="0,0,0,0">
            <w:txbxContent>
              <w:p w:rsidR="00845E73" w:rsidRDefault="00032BC7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10 December 2017</w:t>
                </w:r>
              </w:p>
              <w:p w:rsidR="00845E73" w:rsidRDefault="00032BC7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Scribner's Slice of</w:t>
                </w:r>
                <w:r>
                  <w:rPr>
                    <w:spacing w:val="2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73" w:rsidRDefault="00032BC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287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266661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35pt;margin-top:22.5pt;width:115.6pt;height:34.9pt;z-index:-31144;mso-position-horizontal-relative:page;mso-position-vertical-relative:page" filled="f" stroked="f">
          <v:textbox inset="0,0,0,0">
            <w:txbxContent>
              <w:p w:rsidR="00845E73" w:rsidRDefault="00032BC7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w w:val="95"/>
                    <w:sz w:val="16"/>
                  </w:rPr>
                  <w:t>10 December 2017</w:t>
                </w:r>
              </w:p>
              <w:p w:rsidR="00845E73" w:rsidRDefault="00032BC7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IT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Scribner's Slice of</w:t>
                </w:r>
                <w:r>
                  <w:rPr>
                    <w:rFonts w:ascii="Lucida Sans Unicode"/>
                    <w:spacing w:val="-40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C49AF"/>
    <w:multiLevelType w:val="hybridMultilevel"/>
    <w:tmpl w:val="E7B828F0"/>
    <w:lvl w:ilvl="0" w:tplc="CDF26848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ED5C627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CE5C19E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EFBCAC9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27C4EAB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83C484A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57781F1A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A4D6141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AE86C9D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5397207F"/>
    <w:multiLevelType w:val="hybridMultilevel"/>
    <w:tmpl w:val="D67E2F6E"/>
    <w:lvl w:ilvl="0" w:tplc="FFD88A82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3B883E5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AE40379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976C9AB6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A2C841A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E066412E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FCE8DC5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831EABE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1F7EA11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59640F9B"/>
    <w:multiLevelType w:val="hybridMultilevel"/>
    <w:tmpl w:val="CD56F9C8"/>
    <w:lvl w:ilvl="0" w:tplc="19C4DC90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1BEED60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0881716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B82B79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C952CEF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758278B0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5FDC1500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1F58C02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D00643C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5CD65303"/>
    <w:multiLevelType w:val="hybridMultilevel"/>
    <w:tmpl w:val="AEE28A4A"/>
    <w:lvl w:ilvl="0" w:tplc="AEC0ABBC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B4F6F9E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9B3AA2E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AE4234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9BAFD7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11B0F29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00622BF0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FF561D8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8392115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6CD02552"/>
    <w:multiLevelType w:val="hybridMultilevel"/>
    <w:tmpl w:val="EB0E1EE2"/>
    <w:lvl w:ilvl="0" w:tplc="4B080314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6C5435FE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9E06CA90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AEEE77D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21C8725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FD3235D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BAE4D2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680AA12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CCAA288A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45E73"/>
    <w:rsid w:val="00032BC7"/>
    <w:rsid w:val="00845E73"/>
    <w:rsid w:val="00B5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01B6523"/>
  <w15:docId w15:val="{388D96C4-8069-412D-9654-4A0E7702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"/>
      <w:ind w:left="12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2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c.com/2017/12/07/apple-health-director-anil-sethi-leaves-to-" TargetMode="External"/><Relationship Id="rId18" Type="http://schemas.openxmlformats.org/officeDocument/2006/relationships/hyperlink" Target="http://variety.com/2017/tv/news/michelle-lee-apple-1202631849/)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mailto:jeffrey.rand@db.com" TargetMode="External"/><Relationship Id="rId17" Type="http://schemas.openxmlformats.org/officeDocument/2006/relationships/hyperlink" Target="http://www.reuters.com/article/us-eu-apple-ireland-taxavoidance/ireland-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://www.reuters.com/article/us-eu-apple-ireland-taxavoidance/ireland-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ienne.colby@db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nbc.com/2017/12/07/apple-health-director-anil-sethi-leaves-to-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herri.scribner@db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igitimes.com/news/a20171208PD210.html)" TargetMode="External"/><Relationship Id="rId14" Type="http://schemas.openxmlformats.org/officeDocument/2006/relationships/hyperlink" Target="http://www.cnbc.com/2017/12/07/apple-health-director-anil-sethi-leaves-to-" TargetMode="External"/><Relationship Id="rId22" Type="http://schemas.openxmlformats.org/officeDocument/2006/relationships/footer" Target="footer2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AE1EE-6822-4740-858C-E98AC9827EF4}"/>
</file>

<file path=customXml/itemProps2.xml><?xml version="1.0" encoding="utf-8"?>
<ds:datastoreItem xmlns:ds="http://schemas.openxmlformats.org/officeDocument/2006/customXml" ds:itemID="{6C80C56A-9C4C-4295-AFAB-8BBDA2C0A915}"/>
</file>

<file path=customXml/itemProps3.xml><?xml version="1.0" encoding="utf-8"?>
<ds:datastoreItem xmlns:ds="http://schemas.openxmlformats.org/officeDocument/2006/customXml" ds:itemID="{D4532ED0-2663-4682-A943-AD2153E92E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1204</Words>
  <Characters>6867</Characters>
  <Application>Microsoft Office Word</Application>
  <DocSecurity>0</DocSecurity>
  <Lines>57</Lines>
  <Paragraphs>16</Paragraphs>
  <ScaleCrop>false</ScaleCrop>
  <Company>Washington University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2019-04-26T11:26:00Z</dcterms:created>
  <dcterms:modified xsi:type="dcterms:W3CDTF">2019-04-27T17:15:00Z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2017-12-08T00:00:00Z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