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AD773" w14:textId="77777777" w:rsidR="00CB7071" w:rsidRDefault="00CB7071" w:rsidP="00CB7071">
      <w:pPr>
        <w:pStyle w:val="Title"/>
        <w:pBdr>
          <w:top w:val="single" w:sz="6" w:space="31" w:color="A5A5A5" w:themeColor="accent3"/>
        </w:pBdr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Association Rules</w:t>
      </w:r>
    </w:p>
    <w:p w14:paraId="29A2531A" w14:textId="77777777" w:rsidR="00CB7071" w:rsidRDefault="00CB7071" w:rsidP="00D15718">
      <w:pPr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</w:p>
    <w:p w14:paraId="0DD59E09" w14:textId="6EE0301A" w:rsidR="00CB7071" w:rsidRDefault="00F062A0" w:rsidP="00D15718">
      <w:pPr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547E57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Dataset:</w:t>
      </w:r>
    </w:p>
    <w:p w14:paraId="34F9C8AD" w14:textId="3C7C765D" w:rsidR="00F062A0" w:rsidRPr="00CB7071" w:rsidRDefault="00F062A0" w:rsidP="00D15718">
      <w:pPr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sz w:val="24"/>
          <w:szCs w:val="24"/>
          <w:lang w:eastAsia="en-IN"/>
        </w:rPr>
        <w:t>Use the Online retail dataset to apply the association rules.</w:t>
      </w:r>
    </w:p>
    <w:p w14:paraId="21DB50DD" w14:textId="67BC495B" w:rsidR="00F062A0" w:rsidRPr="00547E57" w:rsidRDefault="00F062A0" w:rsidP="00D15718">
      <w:pPr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547E57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Data Preprocessing:</w:t>
      </w:r>
    </w:p>
    <w:p w14:paraId="50AE06AC" w14:textId="6AE70FD1" w:rsidR="00F062A0" w:rsidRDefault="00F062A0" w:rsidP="00D15718">
      <w:pPr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sz w:val="24"/>
          <w:szCs w:val="24"/>
          <w:lang w:eastAsia="en-IN"/>
        </w:rPr>
        <w:t xml:space="preserve">Pre-process the dataset to ensure it is suitable for Association rules, this may include handling missing values, removing duplicates, and converting the data to appropriate format.  </w:t>
      </w:r>
    </w:p>
    <w:p w14:paraId="08C34BEA" w14:textId="00598444" w:rsidR="00CA36A6" w:rsidRPr="00B83C91" w:rsidRDefault="009101D9" w:rsidP="00D15718">
      <w:pPr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9101D9">
        <w:rPr>
          <w:rFonts w:ascii="Segoe UI" w:eastAsia="Times New Roman" w:hAnsi="Segoe UI" w:cs="Segoe UI"/>
          <w:sz w:val="24"/>
          <w:szCs w:val="24"/>
          <w:lang w:eastAsia="en-IN"/>
        </w:rPr>
        <w:drawing>
          <wp:inline distT="0" distB="0" distL="0" distR="0" wp14:anchorId="0533E36D" wp14:editId="03298C47">
            <wp:extent cx="4401164" cy="1609950"/>
            <wp:effectExtent l="0" t="0" r="0" b="9525"/>
            <wp:docPr id="155791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14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F3A2" w14:textId="77777777" w:rsidR="00B83C91" w:rsidRDefault="00B83C91" w:rsidP="00D15718">
      <w:pPr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62BAD277" w14:textId="26E8E58A" w:rsidR="00693718" w:rsidRPr="00E23BE8" w:rsidRDefault="00547E57" w:rsidP="00E23BE8">
      <w:pPr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230D00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Association Rule Mining:</w:t>
      </w:r>
    </w:p>
    <w:p w14:paraId="4AF52DFD" w14:textId="77777777" w:rsidR="00B83C91" w:rsidRPr="00B83C91" w:rsidRDefault="00B83C91" w:rsidP="00B83C91">
      <w:pPr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B83C91">
        <w:rPr>
          <w:rFonts w:ascii="Segoe UI" w:eastAsia="Times New Roman" w:hAnsi="Segoe UI" w:cs="Segoe UI"/>
          <w:sz w:val="24"/>
          <w:szCs w:val="24"/>
          <w:lang w:val="en-US" w:eastAsia="en-IN"/>
        </w:rPr>
        <w:t xml:space="preserve">Apriori requires data in a format where each column represents an item, and each row represents a transaction. Set thresholds for </w:t>
      </w:r>
      <w:r w:rsidRPr="00B83C91">
        <w:rPr>
          <w:rFonts w:ascii="Segoe UI" w:eastAsia="Times New Roman" w:hAnsi="Segoe UI" w:cs="Segoe UI"/>
          <w:b/>
          <w:bCs/>
          <w:sz w:val="24"/>
          <w:szCs w:val="24"/>
          <w:lang w:val="en-US" w:eastAsia="en-IN"/>
        </w:rPr>
        <w:t>support, confidence, and lift</w:t>
      </w:r>
      <w:r w:rsidRPr="00B83C91">
        <w:rPr>
          <w:rFonts w:ascii="Segoe UI" w:eastAsia="Times New Roman" w:hAnsi="Segoe UI" w:cs="Segoe UI"/>
          <w:sz w:val="24"/>
          <w:szCs w:val="24"/>
          <w:lang w:val="en-US" w:eastAsia="en-IN"/>
        </w:rPr>
        <w:t xml:space="preserve"> to extract meaningful rules.</w:t>
      </w:r>
    </w:p>
    <w:p w14:paraId="3AF21901" w14:textId="77777777" w:rsidR="00B83C91" w:rsidRPr="00B83C91" w:rsidRDefault="00B83C91" w:rsidP="00B83C91">
      <w:pPr>
        <w:numPr>
          <w:ilvl w:val="0"/>
          <w:numId w:val="4"/>
        </w:numPr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B83C91">
        <w:rPr>
          <w:rFonts w:ascii="Segoe UI" w:eastAsia="Times New Roman" w:hAnsi="Segoe UI" w:cs="Segoe UI"/>
          <w:b/>
          <w:bCs/>
          <w:sz w:val="24"/>
          <w:szCs w:val="24"/>
          <w:lang w:val="en-US" w:eastAsia="en-IN"/>
        </w:rPr>
        <w:t>Support:</w:t>
      </w:r>
      <w:r w:rsidRPr="00B83C91">
        <w:rPr>
          <w:rFonts w:ascii="Segoe UI" w:eastAsia="Times New Roman" w:hAnsi="Segoe UI" w:cs="Segoe UI"/>
          <w:sz w:val="24"/>
          <w:szCs w:val="24"/>
          <w:lang w:val="en-US" w:eastAsia="en-IN"/>
        </w:rPr>
        <w:t xml:space="preserve"> Set min_support (e.g., 0.02) to filter out infrequent itemsets.</w:t>
      </w:r>
    </w:p>
    <w:p w14:paraId="74B609E3" w14:textId="77777777" w:rsidR="00B83C91" w:rsidRDefault="00B83C91" w:rsidP="00B83C91">
      <w:pPr>
        <w:numPr>
          <w:ilvl w:val="0"/>
          <w:numId w:val="4"/>
        </w:numPr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B83C91">
        <w:rPr>
          <w:rFonts w:ascii="Segoe UI" w:eastAsia="Times New Roman" w:hAnsi="Segoe UI" w:cs="Segoe UI"/>
          <w:b/>
          <w:bCs/>
          <w:sz w:val="24"/>
          <w:szCs w:val="24"/>
          <w:lang w:val="en-US" w:eastAsia="en-IN"/>
        </w:rPr>
        <w:t>Confidence:</w:t>
      </w:r>
      <w:r w:rsidRPr="00B83C91">
        <w:rPr>
          <w:rFonts w:ascii="Segoe UI" w:eastAsia="Times New Roman" w:hAnsi="Segoe UI" w:cs="Segoe UI"/>
          <w:sz w:val="24"/>
          <w:szCs w:val="24"/>
          <w:lang w:val="en-US" w:eastAsia="en-IN"/>
        </w:rPr>
        <w:t xml:space="preserve"> Set min_threshold in association_</w:t>
      </w:r>
      <w:proofErr w:type="gramStart"/>
      <w:r w:rsidRPr="00B83C91">
        <w:rPr>
          <w:rFonts w:ascii="Segoe UI" w:eastAsia="Times New Roman" w:hAnsi="Segoe UI" w:cs="Segoe UI"/>
          <w:sz w:val="24"/>
          <w:szCs w:val="24"/>
          <w:lang w:val="en-US" w:eastAsia="en-IN"/>
        </w:rPr>
        <w:t>rules(</w:t>
      </w:r>
      <w:proofErr w:type="gramEnd"/>
      <w:r w:rsidRPr="00B83C91">
        <w:rPr>
          <w:rFonts w:ascii="Segoe UI" w:eastAsia="Times New Roman" w:hAnsi="Segoe UI" w:cs="Segoe UI"/>
          <w:sz w:val="24"/>
          <w:szCs w:val="24"/>
          <w:lang w:val="en-US" w:eastAsia="en-IN"/>
        </w:rPr>
        <w:t>) to control rule strength.</w:t>
      </w:r>
    </w:p>
    <w:p w14:paraId="5DAC2037" w14:textId="4754B82F" w:rsidR="006A178F" w:rsidRPr="00BD3DE9" w:rsidRDefault="006A178F" w:rsidP="006A178F">
      <w:pPr>
        <w:pStyle w:val="ListParagraph"/>
        <w:numPr>
          <w:ilvl w:val="0"/>
          <w:numId w:val="4"/>
        </w:numPr>
        <w:rPr>
          <w:rFonts w:ascii="Segoe UI" w:eastAsia="Times New Roman" w:hAnsi="Segoe UI" w:cs="Segoe UI"/>
          <w:sz w:val="24"/>
          <w:szCs w:val="24"/>
          <w:lang w:eastAsia="en-IN"/>
        </w:rPr>
      </w:pPr>
      <w:r w:rsidRPr="006A178F">
        <w:rPr>
          <w:rFonts w:ascii="Segoe UI" w:eastAsia="Times New Roman" w:hAnsi="Segoe UI" w:cs="Segoe UI"/>
          <w:b/>
          <w:bCs/>
          <w:sz w:val="24"/>
          <w:szCs w:val="24"/>
          <w:lang w:val="en-US" w:eastAsia="en-IN"/>
        </w:rPr>
        <w:t>Lift:</w:t>
      </w:r>
      <w:r w:rsidRPr="006A178F">
        <w:rPr>
          <w:rFonts w:ascii="Segoe UI" w:eastAsia="Times New Roman" w:hAnsi="Segoe UI" w:cs="Segoe UI"/>
          <w:sz w:val="24"/>
          <w:szCs w:val="24"/>
          <w:lang w:val="en-US" w:eastAsia="en-IN"/>
        </w:rPr>
        <w:t xml:space="preserve"> A </w:t>
      </w:r>
      <w:r w:rsidRPr="006A178F">
        <w:rPr>
          <w:rFonts w:ascii="Segoe UI" w:eastAsia="Times New Roman" w:hAnsi="Segoe UI" w:cs="Segoe UI"/>
          <w:b/>
          <w:bCs/>
          <w:sz w:val="24"/>
          <w:szCs w:val="24"/>
          <w:lang w:val="en-US" w:eastAsia="en-IN"/>
        </w:rPr>
        <w:t>lift &gt; 1</w:t>
      </w:r>
      <w:r w:rsidRPr="006A178F">
        <w:rPr>
          <w:rFonts w:ascii="Segoe UI" w:eastAsia="Times New Roman" w:hAnsi="Segoe UI" w:cs="Segoe UI"/>
          <w:sz w:val="24"/>
          <w:szCs w:val="24"/>
          <w:lang w:val="en-US" w:eastAsia="en-IN"/>
        </w:rPr>
        <w:t xml:space="preserve"> indicates a strong positive association</w:t>
      </w:r>
    </w:p>
    <w:p w14:paraId="489618E3" w14:textId="674EDD05" w:rsidR="00BD3DE9" w:rsidRPr="006A178F" w:rsidRDefault="00BD3DE9" w:rsidP="00BD3DE9">
      <w:pPr>
        <w:pStyle w:val="ListParagraph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D3DE9">
        <w:rPr>
          <w:rFonts w:ascii="Segoe UI" w:eastAsia="Times New Roman" w:hAnsi="Segoe UI" w:cs="Segoe UI"/>
          <w:sz w:val="24"/>
          <w:szCs w:val="24"/>
          <w:lang w:eastAsia="en-IN"/>
        </w:rPr>
        <w:drawing>
          <wp:inline distT="0" distB="0" distL="0" distR="0" wp14:anchorId="5781E9FF" wp14:editId="2DFACC08">
            <wp:extent cx="5525271" cy="2467319"/>
            <wp:effectExtent l="0" t="0" r="0" b="9525"/>
            <wp:docPr id="208241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12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8180" w14:textId="77777777" w:rsidR="00394E72" w:rsidRPr="00394E72" w:rsidRDefault="00394E72" w:rsidP="00394E72">
      <w:pPr>
        <w:numPr>
          <w:ilvl w:val="0"/>
          <w:numId w:val="4"/>
        </w:numPr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394E72">
        <w:rPr>
          <w:rFonts w:ascii="Segoe UI" w:eastAsia="Times New Roman" w:hAnsi="Segoe UI" w:cs="Segoe UI"/>
          <w:b/>
          <w:bCs/>
          <w:sz w:val="24"/>
          <w:szCs w:val="24"/>
          <w:lang w:val="en-US" w:eastAsia="en-IN"/>
        </w:rPr>
        <w:t>Support</w:t>
      </w:r>
      <w:r w:rsidRPr="00394E72">
        <w:rPr>
          <w:rFonts w:ascii="Segoe UI" w:eastAsia="Times New Roman" w:hAnsi="Segoe UI" w:cs="Segoe UI"/>
          <w:sz w:val="24"/>
          <w:szCs w:val="24"/>
          <w:lang w:val="en-US" w:eastAsia="en-IN"/>
        </w:rPr>
        <w:t>: The frequency of a rule in the dataset.</w:t>
      </w:r>
    </w:p>
    <w:p w14:paraId="77F9CF75" w14:textId="77777777" w:rsidR="00394E72" w:rsidRPr="00394E72" w:rsidRDefault="00394E72" w:rsidP="00394E72">
      <w:pPr>
        <w:numPr>
          <w:ilvl w:val="0"/>
          <w:numId w:val="4"/>
        </w:numPr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394E72">
        <w:rPr>
          <w:rFonts w:ascii="Segoe UI" w:eastAsia="Times New Roman" w:hAnsi="Segoe UI" w:cs="Segoe UI"/>
          <w:b/>
          <w:bCs/>
          <w:sz w:val="24"/>
          <w:szCs w:val="24"/>
          <w:lang w:val="en-US" w:eastAsia="en-IN"/>
        </w:rPr>
        <w:t>Confidence</w:t>
      </w:r>
      <w:r w:rsidRPr="00394E72">
        <w:rPr>
          <w:rFonts w:ascii="Segoe UI" w:eastAsia="Times New Roman" w:hAnsi="Segoe UI" w:cs="Segoe UI"/>
          <w:sz w:val="24"/>
          <w:szCs w:val="24"/>
          <w:lang w:val="en-US" w:eastAsia="en-IN"/>
        </w:rPr>
        <w:t>: The probability that customers who buy the antecedent also buy the consequent.</w:t>
      </w:r>
    </w:p>
    <w:p w14:paraId="4598B20A" w14:textId="77777777" w:rsidR="00394E72" w:rsidRPr="00394E72" w:rsidRDefault="00394E72" w:rsidP="00394E72">
      <w:pPr>
        <w:numPr>
          <w:ilvl w:val="0"/>
          <w:numId w:val="4"/>
        </w:numPr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394E72">
        <w:rPr>
          <w:rFonts w:ascii="Segoe UI" w:eastAsia="Times New Roman" w:hAnsi="Segoe UI" w:cs="Segoe UI"/>
          <w:b/>
          <w:bCs/>
          <w:sz w:val="24"/>
          <w:szCs w:val="24"/>
          <w:lang w:val="en-US" w:eastAsia="en-IN"/>
        </w:rPr>
        <w:t>Lift</w:t>
      </w:r>
      <w:r w:rsidRPr="00394E72">
        <w:rPr>
          <w:rFonts w:ascii="Segoe UI" w:eastAsia="Times New Roman" w:hAnsi="Segoe UI" w:cs="Segoe UI"/>
          <w:sz w:val="24"/>
          <w:szCs w:val="24"/>
          <w:lang w:val="en-US" w:eastAsia="en-IN"/>
        </w:rPr>
        <w:t>: How much more likely customers are to buy the consequent when they buy the antecedent (Lift &gt; 1 indicates a strong association).</w:t>
      </w:r>
    </w:p>
    <w:p w14:paraId="42224266" w14:textId="2E6A707A" w:rsidR="00B83C91" w:rsidRDefault="006A178F" w:rsidP="00B83C91">
      <w:pPr>
        <w:rPr>
          <w:rFonts w:ascii="Segoe UI" w:eastAsia="Times New Roman" w:hAnsi="Segoe UI" w:cs="Segoe UI"/>
          <w:b/>
          <w:bCs/>
          <w:sz w:val="24"/>
          <w:szCs w:val="24"/>
          <w:lang w:val="en-US" w:eastAsia="en-IN"/>
        </w:rPr>
      </w:pPr>
      <w:r>
        <w:rPr>
          <w:rFonts w:ascii="Segoe UI" w:eastAsia="Times New Roman" w:hAnsi="Segoe UI" w:cs="Segoe UI"/>
          <w:b/>
          <w:bCs/>
          <w:sz w:val="24"/>
          <w:szCs w:val="24"/>
          <w:lang w:val="en-US" w:eastAsia="en-IN"/>
        </w:rPr>
        <w:t xml:space="preserve">       </w:t>
      </w:r>
    </w:p>
    <w:p w14:paraId="17FD34D7" w14:textId="11FA0646" w:rsidR="009E6D06" w:rsidRPr="002D33F7" w:rsidRDefault="00394E72" w:rsidP="00394E72">
      <w:pPr>
        <w:rPr>
          <w:rFonts w:ascii="Segoe UI" w:hAnsi="Segoe UI" w:cs="Segoe UI"/>
          <w:lang w:val="en-US"/>
        </w:rPr>
      </w:pPr>
      <w:r w:rsidRPr="00394E72">
        <w:rPr>
          <w:rFonts w:ascii="Segoe UI" w:hAnsi="Segoe UI" w:cs="Segoe UI"/>
          <w:b/>
          <w:bCs/>
          <w:lang w:val="en-US"/>
        </w:rPr>
        <w:t>Business Insights &amp; Recommendations</w:t>
      </w:r>
    </w:p>
    <w:p w14:paraId="5500F017" w14:textId="2E1040B1" w:rsidR="002D33F7" w:rsidRPr="00394E72" w:rsidRDefault="002D33F7" w:rsidP="00394E72">
      <w:pPr>
        <w:rPr>
          <w:rFonts w:ascii="Segoe UI" w:hAnsi="Segoe UI" w:cs="Segoe UI"/>
        </w:rPr>
      </w:pPr>
      <w:r w:rsidRPr="002D33F7">
        <w:rPr>
          <w:rFonts w:ascii="Segoe UI" w:hAnsi="Segoe UI" w:cs="Segoe UI"/>
        </w:rPr>
        <w:drawing>
          <wp:inline distT="0" distB="0" distL="0" distR="0" wp14:anchorId="408EA3D0" wp14:editId="4D8AB367">
            <wp:extent cx="5731510" cy="2480945"/>
            <wp:effectExtent l="0" t="0" r="2540" b="0"/>
            <wp:docPr id="1485338748" name="Picture 1" descr="A blue and white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38748" name="Picture 1" descr="A blue and white bar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3F7" w:rsidRPr="00394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74BFE"/>
    <w:multiLevelType w:val="hybridMultilevel"/>
    <w:tmpl w:val="4726E5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13483D"/>
    <w:multiLevelType w:val="hybridMultilevel"/>
    <w:tmpl w:val="638ECB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15494A"/>
    <w:multiLevelType w:val="hybridMultilevel"/>
    <w:tmpl w:val="D9FAE18E"/>
    <w:lvl w:ilvl="0" w:tplc="40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num w:numId="1" w16cid:durableId="393358016">
    <w:abstractNumId w:val="0"/>
  </w:num>
  <w:num w:numId="2" w16cid:durableId="2126658593">
    <w:abstractNumId w:val="2"/>
  </w:num>
  <w:num w:numId="3" w16cid:durableId="833376378">
    <w:abstractNumId w:val="1"/>
  </w:num>
  <w:num w:numId="4" w16cid:durableId="8958828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718"/>
    <w:rsid w:val="00230D00"/>
    <w:rsid w:val="00286E97"/>
    <w:rsid w:val="002D33F7"/>
    <w:rsid w:val="00301355"/>
    <w:rsid w:val="00394E72"/>
    <w:rsid w:val="003E7BD7"/>
    <w:rsid w:val="004025F6"/>
    <w:rsid w:val="005379B9"/>
    <w:rsid w:val="0054382C"/>
    <w:rsid w:val="00547E57"/>
    <w:rsid w:val="00693718"/>
    <w:rsid w:val="006A178F"/>
    <w:rsid w:val="009101D9"/>
    <w:rsid w:val="009E6D06"/>
    <w:rsid w:val="00A1245E"/>
    <w:rsid w:val="00B83C91"/>
    <w:rsid w:val="00BD3DE9"/>
    <w:rsid w:val="00CA36A6"/>
    <w:rsid w:val="00CB7071"/>
    <w:rsid w:val="00D06C3A"/>
    <w:rsid w:val="00D15718"/>
    <w:rsid w:val="00E23BE8"/>
    <w:rsid w:val="00F062A0"/>
    <w:rsid w:val="00F4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736BA"/>
  <w15:chartTrackingRefBased/>
  <w15:docId w15:val="{CF0F8CB4-5CFA-4DA9-940F-987148B88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718"/>
    <w:pPr>
      <w:spacing w:line="30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B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1571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15718"/>
    <w:rPr>
      <w:rFonts w:asciiTheme="majorHAnsi" w:eastAsiaTheme="majorEastAsia" w:hAnsiTheme="majorHAnsi" w:cstheme="majorBidi"/>
      <w:caps/>
      <w:color w:val="44546A" w:themeColor="text2"/>
      <w:spacing w:val="30"/>
      <w:kern w:val="0"/>
      <w:sz w:val="72"/>
      <w:szCs w:val="72"/>
      <w14:ligatures w14:val="none"/>
    </w:rPr>
  </w:style>
  <w:style w:type="paragraph" w:styleId="ListParagraph">
    <w:name w:val="List Paragraph"/>
    <w:basedOn w:val="Normal"/>
    <w:uiPriority w:val="34"/>
    <w:qFormat/>
    <w:rsid w:val="00547E5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E7BD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Excelr Solutions</dc:creator>
  <cp:keywords/>
  <dc:description/>
  <cp:lastModifiedBy>Tejaswi Wadekar</cp:lastModifiedBy>
  <cp:revision>17</cp:revision>
  <dcterms:created xsi:type="dcterms:W3CDTF">2025-11-05T14:16:00Z</dcterms:created>
  <dcterms:modified xsi:type="dcterms:W3CDTF">2025-11-05T14:54:00Z</dcterms:modified>
</cp:coreProperties>
</file>