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Выводы по контекстной кампании "тестовая кампания"</w:t>
      </w:r>
      <w:r>
        <w:br/>
      </w:r>
    </w:p>
    <w:p>
      <w:pPr>
        <w:pStyle w:val="ListNumber"/>
      </w:pPr>
      <w:r>
        <w:t>Общие показатели:</w:t>
      </w:r>
    </w:p>
    <w:p>
      <w:pPr>
        <w:pStyle w:val="ListBullet"/>
      </w:pPr>
      <w:r>
        <w:t xml:space="preserve">Было привлечено </w:t>
      </w:r>
      <w:r>
        <w:rPr>
          <w:b/>
        </w:rPr>
        <w:t>6 811 уникальных посетителей</w:t>
      </w:r>
      <w:r>
        <w:t xml:space="preserve"> и совершено </w:t>
      </w:r>
      <w:r>
        <w:rPr>
          <w:b/>
        </w:rPr>
        <w:t>7 896 визитов.</w:t>
      </w:r>
    </w:p>
    <w:p>
      <w:pPr>
        <w:pStyle w:val="ListBullet"/>
      </w:pPr>
      <w:r>
        <w:rPr>
          <w:b/>
        </w:rPr>
        <w:t>Доля отказов</w:t>
      </w:r>
      <w:r>
        <w:t xml:space="preserve"> составила 23.68 % что значительно больше, чем в органическом трафике (5.68 %) и меньше, чем в предыдущей РК (29.0 %).</w:t>
      </w:r>
    </w:p>
    <w:p>
      <w:pPr>
        <w:pStyle w:val="ListBullet"/>
      </w:pPr>
      <w:r>
        <w:rPr>
          <w:b/>
        </w:rPr>
        <w:t>Глубина просмотра</w:t>
      </w:r>
      <w:r>
        <w:t xml:space="preserve"> составляет в среднем 1.55 стр., это значительно меньше (в 3.48 раз), чем по органике (5.4 стр.), и больше (в 1.17 раз) чем в предыдущей РК (1.33 стр.).</w:t>
      </w:r>
    </w:p>
    <w:p>
      <w:pPr>
        <w:pStyle w:val="ListBullet"/>
      </w:pPr>
      <w:r>
        <w:rPr>
          <w:b/>
        </w:rPr>
        <w:t>Среднее время на сайте</w:t>
      </w:r>
      <w:r>
        <w:t xml:space="preserve"> — 02:43 что значительно меньше, чем у органического трафика (07:47) и значительно больше, чем у трафика с предыдущей РК (00:59)</w:t>
      </w:r>
    </w:p>
    <w:p>
      <w:pPr>
        <w:pStyle w:val="ListBullet"/>
      </w:pPr>
      <w:r>
        <w:rPr>
          <w:b/>
        </w:rPr>
        <w:t>Доля новых посетителей</w:t>
      </w:r>
      <w:r>
        <w:t xml:space="preserve"> составила 19.66 % (c учётом отказов), что значительно меньше результата по органике (31.64 %) и значительно меньше, чем по предыдущей РК (82.27 % с учётом отказов)</w:t>
      </w:r>
    </w:p>
    <w:p>
      <w:pPr>
        <w:pStyle w:val="ListNumber"/>
        <w:spacing w:line="360" w:lineRule="auto"/>
      </w:pPr>
      <w:r>
        <w:t>Посещение страниц:</w:t>
      </w:r>
    </w:p>
    <w:p>
      <w:pPr>
        <w:pStyle w:val="ListBullet"/>
      </w:pPr>
      <w:r>
        <w:t xml:space="preserve">Действие </w:t>
      </w:r>
      <w:r>
        <w:rPr>
          <w:b/>
        </w:rPr>
        <w:t>«Главная, клик на раздел: Раздел 2»</w:t>
      </w:r>
      <w:r>
        <w:t xml:space="preserve"> привлекло 1576 посетителей. Конверсия посетителей составила 23.14 % а доля отказов 1.22 % (относительно визитов). Глубина просмотра равна 1.62 стр. (в среднем, без учёта отказников), время просмотра 03:11 (в среднем, без учёта отказников);</w:t>
      </w:r>
    </w:p>
    <w:p>
      <w:pPr>
        <w:pStyle w:val="ListBullet"/>
      </w:pPr>
      <w:r>
        <w:t xml:space="preserve">Действие </w:t>
      </w:r>
      <w:r>
        <w:rPr>
          <w:b/>
        </w:rPr>
        <w:t>«Оформление заявки: Шаг 1»</w:t>
      </w:r>
      <w:r>
        <w:t xml:space="preserve"> привлекло 1477 посетителей. Конверсия посетителей составила 21.69 % а доля отказов 2.7 % (относительно визитов). Глубина просмотра равна 2.67 стр. (в среднем, без учёта отказников), время просмотра 05:21 (в среднем, без учёта отказников);</w:t>
      </w:r>
    </w:p>
    <w:p>
      <w:pPr>
        <w:pStyle w:val="ListBullet"/>
      </w:pPr>
      <w:r>
        <w:t xml:space="preserve">Действие </w:t>
      </w:r>
      <w:r>
        <w:rPr>
          <w:b/>
        </w:rPr>
        <w:t>«Главная: Действие 3»</w:t>
      </w:r>
      <w:r>
        <w:t xml:space="preserve"> привлекло 1357 посетителей. Конверсия посетителей составила 19.92 % а доля отказов 2.46 % (относительно визитов). Глубина просмотра равна 2.55 стр. (в среднем, без учёта отказников), время просмотра 05:02 (в среднем, без учёта отказников);</w:t>
      </w:r>
    </w:p>
    <w:p>
      <w:pPr>
        <w:pStyle w:val="ListBullet"/>
      </w:pPr>
      <w:r>
        <w:t xml:space="preserve">Действие </w:t>
      </w:r>
      <w:r>
        <w:rPr>
          <w:b/>
        </w:rPr>
        <w:t>«Главная: Действие 4»</w:t>
      </w:r>
      <w:r>
        <w:t xml:space="preserve"> привлекло 1068 посетителей. Конверсия посетителей составила 15.68 % а доля отказов 0.0 % (относительно визитов). Глубина просмотра равна 1.58 стр. (в среднем, без учёта отказников), время просмотра 04:41 (в среднем, без учёта отказников);</w:t>
      </w:r>
    </w:p>
    <w:p>
      <w:pPr>
        <w:pStyle w:val="ListBullet"/>
      </w:pPr>
      <w:r>
        <w:t xml:space="preserve">Действие </w:t>
      </w:r>
      <w:r>
        <w:rPr>
          <w:b/>
        </w:rPr>
        <w:t>«Главная, клик на раздел: Раздел 4»</w:t>
      </w:r>
      <w:r>
        <w:t xml:space="preserve"> привлекло 584 посетителя. Конверсия посетителей составила 8.57 % а доля отказов 0.5 % (относительно визитов). Глубина просмотра равна 1.65 стр. (в среднем, без учёта отказников), время просмотра 03:24 (в среднем, без учёта отказников);</w:t>
      </w:r>
    </w:p>
    <w:p>
      <w:pPr>
        <w:pStyle w:val="ListBullet"/>
      </w:pPr>
      <w:r>
        <w:t xml:space="preserve">Действие </w:t>
      </w:r>
      <w:r>
        <w:rPr>
          <w:b/>
        </w:rPr>
        <w:t>«Главная, клик на раздел: Раздел 3»</w:t>
      </w:r>
      <w:r>
        <w:t xml:space="preserve"> привлекло 522 посетителя. Конверсия посетителей составила 7.66 % а доля отказов 1.12 % (относительно визитов). Глубина просмотра равна 1.66 стр. (в среднем, без учёта отказников), время просмотра 03:17 (в среднем, без учёта отказников);</w:t>
      </w:r>
    </w:p>
    <w:p>
      <w:pPr>
        <w:pStyle w:val="ListBullet"/>
      </w:pPr>
      <w:r>
        <w:t xml:space="preserve">Действие </w:t>
      </w:r>
      <w:r>
        <w:rPr>
          <w:b/>
        </w:rPr>
        <w:t>«Главная, клик на раздел: Раздел 5»</w:t>
      </w:r>
      <w:r>
        <w:t xml:space="preserve"> привлекло 488 посетителей. Конверсия посетителей составила 7.16 % а доля отказов 0.2 % (относительно визитов). Глубина просмотра равна 2.13 стр. (в среднем, без учёта отказников), время просмотра 05:24 (в среднем, без учёта отказников);</w:t>
      </w:r>
    </w:p>
    <w:p>
      <w:pPr>
        <w:pStyle w:val="ListBullet"/>
      </w:pPr>
      <w:r>
        <w:t xml:space="preserve">Действие </w:t>
      </w:r>
      <w:r>
        <w:rPr>
          <w:b/>
        </w:rPr>
        <w:t>«Главная, клик на раздел: Другое»</w:t>
      </w:r>
      <w:r>
        <w:t xml:space="preserve"> привлекло 274 посетителя. Конверсия посетителей составила 4.02 % а доля отказов 0.0 % (относительно визитов). Глубина просмотра равна 1.81 стр. (в среднем, без учёта отказников), время просмотра 04:15 (в среднем, без учёта отказников);</w:t>
      </w:r>
    </w:p>
    <w:p>
      <w:pPr>
        <w:pStyle w:val="ListBullet"/>
      </w:pPr>
      <w:r>
        <w:t xml:space="preserve">Действие </w:t>
      </w:r>
      <w:r>
        <w:rPr>
          <w:b/>
        </w:rPr>
        <w:t>«Главная, клик на раздел: Раздел 7»</w:t>
      </w:r>
      <w:r>
        <w:t xml:space="preserve"> привлекло 242 посетителя. Конверсия посетителей составила 3.55 % а доля отказов 0.0 % (относительно визитов). Глубина просмотра равна 1.71 стр. (в среднем, без учёта отказников), время просмотра 03:36 (в среднем, без учёта отказников);</w:t>
      </w:r>
    </w:p>
    <w:p>
      <w:pPr>
        <w:pStyle w:val="ListBullet"/>
      </w:pPr>
      <w:r>
        <w:t xml:space="preserve">Действие </w:t>
      </w:r>
      <w:r>
        <w:rPr>
          <w:b/>
        </w:rPr>
        <w:t>«Главная, клик на раздел: Раздел 1»</w:t>
      </w:r>
      <w:r>
        <w:t xml:space="preserve"> привлекло 237 посетителей. Конверсия посетителей составила 3.48 % а доля отказов 1.26 % (относительно визитов). Глубина просмотра равна 1.85 стр. (в среднем, без учёта отказников), время просмотра 04:10 (в среднем, без учёта отказников);</w:t>
      </w:r>
    </w:p>
    <w:p>
      <w:pPr>
        <w:pStyle w:val="ListBullet"/>
      </w:pPr>
      <w:r>
        <w:t xml:space="preserve">Действие </w:t>
      </w:r>
      <w:r>
        <w:rPr>
          <w:b/>
        </w:rPr>
        <w:t>«Оформление заявки: Шаг 2»</w:t>
      </w:r>
      <w:r>
        <w:t xml:space="preserve"> привлекло 218 посетителей. Конверсия посетителей составила 3.2 % а доля отказов 0.0 % (относительно визитов). Глубина просмотра равна 6.5 стр. (в среднем, без учёта отказников), время просмотра 18:08 (в среднем, без учёта отказников);</w:t>
      </w:r>
    </w:p>
    <w:p>
      <w:pPr>
        <w:pStyle w:val="ListBullet"/>
      </w:pPr>
      <w:r>
        <w:t xml:space="preserve">Действие </w:t>
      </w:r>
      <w:r>
        <w:rPr>
          <w:b/>
        </w:rPr>
        <w:t>«Главная, клик на раздел: Раздел 6»</w:t>
      </w:r>
      <w:r>
        <w:t xml:space="preserve"> привлекло 212 посетителей. Конверсия посетителей составила 3.11 % а доля отказов 0.0 % (относительно визитов). Глубина просмотра равна 1.97 стр. (в среднем, без учёта отказников), время просмотра 04:38 (в среднем, без учёта отказников);</w:t>
      </w:r>
    </w:p>
    <w:p>
      <w:pPr>
        <w:pStyle w:val="ListBullet"/>
      </w:pPr>
      <w:r>
        <w:t xml:space="preserve">Действие </w:t>
      </w:r>
      <w:r>
        <w:rPr>
          <w:b/>
        </w:rPr>
        <w:t>«Оформление заявки: Шаг 3»</w:t>
      </w:r>
      <w:r>
        <w:t xml:space="preserve"> привлекло 193 посетителя. Конверсия посетителей составила 2.83 % а доля отказов 0.0 % (относительно визитов). Глубина просмотра равна 7.04 стр. (в среднем, без учёта отказников), время просмотра 19:51 (в среднем, без учёта отказников);</w:t>
      </w:r>
    </w:p>
    <w:p>
      <w:pPr>
        <w:pStyle w:val="ListBullet"/>
      </w:pPr>
      <w:r>
        <w:t xml:space="preserve">Действие </w:t>
      </w:r>
      <w:r>
        <w:rPr>
          <w:b/>
        </w:rPr>
        <w:t>«Главная: Действие 1»</w:t>
      </w:r>
      <w:r>
        <w:t xml:space="preserve"> привлекло 168 посетителей. Конверсия посетителей составила 2.47 % а доля отказов 3.47 % (относительно визитов). Глубина просмотра равна 4.76 стр. (в среднем, без учёта отказников), время просмотра 10:50 (в среднем, без учёта отказников);</w:t>
      </w:r>
    </w:p>
    <w:p>
      <w:pPr>
        <w:pStyle w:val="ListBullet"/>
      </w:pPr>
      <w:r>
        <w:t xml:space="preserve">Действие </w:t>
      </w:r>
      <w:r>
        <w:rPr>
          <w:b/>
        </w:rPr>
        <w:t>«Оформление заявки: Шаг 4»</w:t>
      </w:r>
      <w:r>
        <w:t xml:space="preserve"> привлекло 150 посетителей. Конверсия посетителей составила 2.2 % а доля отказов 0.0 % (относительно визитов). Глубина просмотра равна 8.01 стр. (в среднем, без учёта отказников), время просмотра 23:28 (в среднем, без учёта отказников);</w:t>
      </w:r>
    </w:p>
    <w:p>
      <w:pPr>
        <w:pStyle w:val="ListBullet"/>
      </w:pPr>
      <w:r>
        <w:t xml:space="preserve">Действие </w:t>
      </w:r>
      <w:r>
        <w:rPr>
          <w:b/>
        </w:rPr>
        <w:t>«Оформление заявки: Шаг 5»</w:t>
      </w:r>
      <w:r>
        <w:t xml:space="preserve"> привлекло 123 посетителя. Конверсия посетителей составила 1.81 % а доля отказов 0.0 % (относительно визитов). Глубина просмотра равна 9.28 стр. (в среднем, без учёта отказников), время просмотра 27:44 (в среднем, без учёта отказников);</w:t>
      </w:r>
    </w:p>
    <w:p>
      <w:pPr>
        <w:pStyle w:val="ListBullet"/>
      </w:pPr>
      <w:r>
        <w:t xml:space="preserve">Действие </w:t>
      </w:r>
      <w:r>
        <w:rPr>
          <w:b/>
        </w:rPr>
        <w:t>«Оформление заявки: Шаг 6»</w:t>
      </w:r>
      <w:r>
        <w:t xml:space="preserve"> привлекло 112 посетителей. Конверсия посетителей составила 1.64 % а доля отказов 0.0 % (относительно визитов). Глубина просмотра равна 9.94 стр. (в среднем, без учёта отказников), время просмотра 29:41 (в среднем, без учёта отказников);</w:t>
      </w:r>
    </w:p>
    <w:p>
      <w:pPr>
        <w:pStyle w:val="ListBullet"/>
      </w:pPr>
      <w:r>
        <w:t xml:space="preserve">Действие </w:t>
      </w:r>
      <w:r>
        <w:rPr>
          <w:b/>
        </w:rPr>
        <w:t>«Оформление заявки: Страница успеха»</w:t>
      </w:r>
      <w:r>
        <w:t xml:space="preserve"> привлекло 102 посетителя. Конверсия посетителей составила 1.5 % а доля отказов 0.0 % (относительно визитов). Глубина просмотра равна 10.54 стр. (в среднем, без учёта отказников), время просмотра 30:51 (в среднем, без учёта отказников);</w:t>
      </w:r>
    </w:p>
    <w:p>
      <w:pPr>
        <w:pStyle w:val="ListBullet"/>
      </w:pPr>
      <w:r>
        <w:t xml:space="preserve">Действие </w:t>
      </w:r>
      <w:r>
        <w:rPr>
          <w:b/>
        </w:rPr>
        <w:t>«Оформление заявки: Клик на кнопку "Оплатить квитанцию"»</w:t>
      </w:r>
      <w:r>
        <w:t xml:space="preserve"> привлекло 20 посетителей. Конверсия посетителей составила 0.29 % а доля отказов 0.0 % (относительно визитов). Глубина просмотра равна 22.85 стр. (в среднем, без учёта отказников), время просмотра 52:22 (в среднем, без учёта отказников);</w:t>
      </w:r>
    </w:p>
    <w:p>
      <w:pPr>
        <w:pStyle w:val="ListBullet"/>
      </w:pPr>
      <w:r>
        <w:t xml:space="preserve">По действиям </w:t>
      </w:r>
      <w:r>
        <w:t>«Главная: Действие 2»</w:t>
      </w:r>
      <w:r>
        <w:t xml:space="preserve"> посещений не зафиксировано.</w:t>
      </w:r>
    </w:p>
    <w:p>
      <w:r>
        <w:br w:type="page"/>
      </w:r>
    </w:p>
    <w:p>
      <w:pPr>
        <w:pStyle w:val="ListNumber"/>
      </w:pPr>
      <w:r>
        <w:t>Диаграммы выполнения целевых действий:</w:t>
      </w:r>
    </w:p>
    <w:p>
      <w:r>
        <w:drawing>
          <wp:inline xmlns:a="http://schemas.openxmlformats.org/drawingml/2006/main" xmlns:pic="http://schemas.openxmlformats.org/drawingml/2006/picture">
            <wp:extent cx="5832000" cy="38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832000" cy="388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832000" cy="388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Анализ выбросов по действиям:</w:t>
      </w:r>
    </w:p>
    <w:p>
      <w:pPr>
        <w:ind w:left="720"/>
      </w:pPr>
      <w:r>
        <w:t>Наибольшее число визитов включают действия:</w:t>
      </w:r>
    </w:p>
    <w:p>
      <w:pPr>
        <w:pStyle w:val="ListBullet"/>
        <w:ind w:left="1440"/>
      </w:pPr>
      <w:r>
        <w:t>«Главная: Действие 3» (1 423 визита).</w:t>
      </w:r>
    </w:p>
    <w:p>
      <w:pPr>
        <w:pStyle w:val="ListBullet"/>
        <w:ind w:left="1440"/>
      </w:pPr>
      <w:r>
        <w:t>«Главная: Действие 4» (1 106 визитов).</w:t>
      </w:r>
    </w:p>
    <w:p>
      <w:pPr>
        <w:pStyle w:val="ListBullet"/>
        <w:ind w:left="1440"/>
      </w:pPr>
      <w:r>
        <w:t>«Главная, клик на раздел: Раздел 2» (1 639 визитов).</w:t>
      </w:r>
    </w:p>
    <w:p>
      <w:pPr>
        <w:pStyle w:val="ListBullet"/>
        <w:ind w:left="1440"/>
      </w:pPr>
      <w:r>
        <w:t>«Оформление заявки: Шаг 1» (1 553 визита).</w:t>
      </w:r>
      <w:r>
        <w:t xml:space="preserve"> Так же наблюдается сравнительно высокая доля отказов (2.7 %).</w:t>
      </w:r>
    </w:p>
    <w:p>
      <w:pPr>
        <w:pStyle w:val="ListBullet"/>
        <w:ind w:left="1440"/>
      </w:pPr>
      <w:r>
        <w:t>«Главная, клик на раздел: Раздел 4» (598 визитов).</w:t>
      </w:r>
    </w:p>
    <w:p>
      <w:pPr>
        <w:pStyle w:val="ListBullet"/>
        <w:ind w:left="1440"/>
      </w:pPr>
      <w:r>
        <w:t>«Главная, клик на раздел: Раздел 3» (536 визитов).</w:t>
      </w:r>
    </w:p>
    <w:p>
      <w:pPr>
        <w:ind w:left="720"/>
      </w:pPr>
      <w:r>
        <w:t>Наименьшее число визитов включают действия:</w:t>
      </w:r>
    </w:p>
    <w:p>
      <w:pPr>
        <w:pStyle w:val="ListBullet"/>
        <w:ind w:left="1440"/>
      </w:pPr>
      <w:r>
        <w:t>«Оформление заявки: Клик на кнопку "Оплатить квитанцию"» (20 визитов).</w:t>
      </w:r>
      <w:r>
        <w:t xml:space="preserve"> Так же, стоит отметить, сравнительно высокое время просмотра (00:52:22).</w:t>
      </w:r>
    </w:p>
    <w:p>
      <w:pPr>
        <w:pStyle w:val="ListBullet"/>
        <w:ind w:left="1440"/>
      </w:pPr>
      <w:r>
        <w:t>«Оформление заявки: Страница успеха» (102 визита).</w:t>
      </w:r>
      <w:r>
        <w:t xml:space="preserve"> Так же, стоит отметить, сравнительно высокое время просмотра (00:30:51).</w:t>
      </w:r>
    </w:p>
    <w:p>
      <w:pPr>
        <w:pStyle w:val="ListBullet"/>
        <w:ind w:left="1440"/>
      </w:pPr>
      <w:r>
        <w:t>«Оформление заявки: Шаг 6» (112 визитов).</w:t>
      </w:r>
      <w:r>
        <w:t xml:space="preserve"> Так же, стоит отметить, сравнительно высокое время просмотра (00:29:41).</w:t>
      </w:r>
    </w:p>
    <w:p>
      <w:pPr>
        <w:pStyle w:val="ListBullet"/>
        <w:ind w:left="1440"/>
      </w:pPr>
      <w:r>
        <w:t>«Оформление заявки: Шаг 5» (123 визита).</w:t>
      </w:r>
      <w:r>
        <w:t xml:space="preserve"> Так же, стоит отметить, сравнительно высокое время просмотра (00:27:44).</w:t>
      </w:r>
    </w:p>
    <w:p>
      <w:pPr>
        <w:pStyle w:val="ListBullet"/>
        <w:ind w:left="1440"/>
      </w:pPr>
      <w:r>
        <w:t>«Оформление заявки: Шаг 4» (152 визита).</w:t>
      </w:r>
    </w:p>
    <w:p>
      <w:pPr>
        <w:pStyle w:val="ListBullet"/>
        <w:ind w:left="1440"/>
      </w:pPr>
      <w:r>
        <w:t>«Главная: Действие 1» (173 визита).</w:t>
      </w:r>
      <w:r>
        <w:t xml:space="preserve"> Так же наблюдается сравнительно высокая доля отказов (3.47 %).</w:t>
      </w:r>
    </w:p>
    <w:p>
      <w:pPr>
        <w:pStyle w:val="ListNumber"/>
      </w:pPr>
      <w:r>
        <w:t>Группы:</w:t>
      </w:r>
    </w:p>
    <w:p>
      <w:pPr>
        <w:pStyle w:val="ListBullet"/>
      </w:pPr>
      <w:r>
        <w:t>«Группа 1» привлекла значительно меньше посетителей (1 638) и имеет значительно меньше отказников (8.02 %) чем группа «Группа 2» (5 193 посетителя; 28.25 % отказников), и при этом имеет значительно больше среднее время на сайте (04:55 у «Группа 1» против 01:54 у «Группа 2»).</w:t>
      </w:r>
    </w:p>
    <w:p>
      <w:pPr>
        <w:pStyle w:val="ListBullet"/>
      </w:pPr>
      <w:r>
        <w:t>Лучшие показатели посещаемости демонстрируют кампании:</w:t>
      </w:r>
    </w:p>
    <w:p>
      <w:pPr>
        <w:pStyle w:val="ListBullet"/>
        <w:ind w:left="1440"/>
      </w:pPr>
      <w:r>
        <w:t>«Кампания 2» (5 193 посетителя).</w:t>
      </w:r>
      <w:r>
        <w:t xml:space="preserve"> Так же наблюдается сравнительно высокая доля отказов (28.25 %).</w:t>
      </w:r>
    </w:p>
    <w:p>
      <w:pPr>
        <w:pStyle w:val="ListBullet"/>
      </w:pPr>
      <w:r>
        <w:t>Худшие показатели посещаемости у следующих кампаний:</w:t>
      </w:r>
    </w:p>
    <w:p>
      <w:pPr>
        <w:pStyle w:val="ListBullet"/>
        <w:ind w:left="1440"/>
      </w:pPr>
      <w:r>
        <w:t>«Кампания 1» (1 638 посетителей).</w:t>
      </w:r>
      <w:r>
        <w:t xml:space="preserve"> Так же, стоит отметить, сравнительно высокое время просмотра (00:04:55).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ind w:left="720"/>
      <w:contextualSpacing/>
    </w:pPr>
    <w:rPr>
      <w:rFonts w:ascii="times new roman" w:hAnsi="times new roman"/>
      <w:b w:val="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