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Выводы по контекстной кампании "ИМЯ КАМПАНИИ"</w:t>
      </w:r>
      <w:r>
        <w:br/>
      </w:r>
    </w:p>
    <w:p>
      <w:pPr>
        <w:pStyle w:val="ListNumber"/>
        <w:spacing w:line="360" w:lineRule="auto"/>
      </w:pPr>
      <w:r>
        <w:t>Общие показатели:</w:t>
      </w:r>
    </w:p>
    <w:p>
      <w:pPr>
        <w:pStyle w:val="ListBullet"/>
        <w:spacing w:line="360" w:lineRule="auto"/>
        <w:ind w:left="720"/>
      </w:pPr>
      <w:r>
        <w:t xml:space="preserve">Было привлечено </w:t>
      </w:r>
      <w:r>
        <w:rPr>
          <w:b/>
        </w:rPr>
        <w:t>9 300 уникальных посетителей</w:t>
      </w:r>
      <w:r>
        <w:t xml:space="preserve"> и совершено </w:t>
      </w:r>
      <w:r>
        <w:rPr>
          <w:b/>
        </w:rPr>
        <w:t>13 477 визитов.</w:t>
      </w:r>
    </w:p>
    <w:p>
      <w:pPr>
        <w:pStyle w:val="ListBullet"/>
        <w:spacing w:line="360" w:lineRule="auto"/>
        <w:ind w:left="720"/>
      </w:pPr>
      <w:r>
        <w:rPr>
          <w:b/>
        </w:rPr>
        <w:t>Доля отказов</w:t>
      </w:r>
      <w:r>
        <w:t xml:space="preserve"> составила 72.72 % что значительно больше, чем в органическом трафике (11.62 %) и значительно больше, чем в предыдущей РК (25.15 %).</w:t>
      </w:r>
    </w:p>
    <w:p>
      <w:pPr>
        <w:pStyle w:val="ListBullet"/>
        <w:spacing w:line="360" w:lineRule="auto"/>
        <w:ind w:left="720"/>
      </w:pPr>
      <w:r>
        <w:rPr>
          <w:b/>
        </w:rPr>
        <w:t>Глубина просмотра</w:t>
      </w:r>
      <w:r>
        <w:t xml:space="preserve"> составляет в среднем 1.09 стр., это значительно меньше (в 4.49 раз), чем по органике (4.89 стр.), и значительно меньше (в 1.67 раз) чем в предыдущей РК (1.82 стр.).</w:t>
      </w:r>
    </w:p>
    <w:p>
      <w:pPr>
        <w:pStyle w:val="ListBullet"/>
        <w:spacing w:line="360" w:lineRule="auto"/>
        <w:ind w:left="720"/>
      </w:pPr>
      <w:r>
        <w:rPr>
          <w:b/>
        </w:rPr>
        <w:t>Среднее время на сайте</w:t>
      </w:r>
      <w:r>
        <w:t xml:space="preserve"> — 01:18 что значительно меньше, чем у органического трафика (04:10) и значительно меньше, чем у трафика с предыдущей РК (03:44)</w:t>
      </w:r>
    </w:p>
    <w:p>
      <w:pPr>
        <w:pStyle w:val="ListBullet"/>
        <w:spacing w:line="360" w:lineRule="auto"/>
        <w:ind w:left="720"/>
      </w:pPr>
      <w:r>
        <w:rPr>
          <w:b/>
        </w:rPr>
        <w:t>Доля новых посетителей</w:t>
      </w:r>
      <w:r>
        <w:t xml:space="preserve"> составила 89.7 % (c учётом отказов), что больше результата по органике (79.97 %) и значительно больше, чем по предыдущей РК (58.61 % с учётом отказов)</w:t>
      </w:r>
    </w:p>
    <w:p>
      <w:pPr>
        <w:pStyle w:val="ListNumber"/>
        <w:spacing w:line="360" w:lineRule="auto"/>
      </w:pPr>
      <w:r>
        <w:t>Посещение страниц:</w:t>
      </w:r>
    </w:p>
    <w:p>
      <w:pPr>
        <w:pStyle w:val="ListBullet"/>
        <w:spacing w:line="360" w:lineRule="auto"/>
        <w:ind w:left="720"/>
      </w:pPr>
      <w:r>
        <w:t xml:space="preserve">Действие </w:t>
      </w:r>
      <w:r>
        <w:rPr>
          <w:b/>
        </w:rPr>
        <w:t>«Основной блок: Просмотр страницы входа»</w:t>
      </w:r>
      <w:r>
        <w:t xml:space="preserve"> 10 посетителей; 0.11 % конверсия посетителей; 20.0 % доля отказов (относительно визитов); 3.5 стр. глубина просмотра (в среднем, без учёта отказников); 05:49 время просмотра (в среднем, без учёта отказников);</w:t>
      </w:r>
    </w:p>
    <w:p>
      <w:pPr>
        <w:pStyle w:val="ListBullet"/>
        <w:spacing w:line="360" w:lineRule="auto"/>
        <w:ind w:left="720"/>
      </w:pPr>
      <w:r>
        <w:t xml:space="preserve">По действию </w:t>
      </w:r>
      <w:r>
        <w:rPr>
          <w:b/>
        </w:rPr>
        <w:t xml:space="preserve">«Основной блок: Успешный вход» </w:t>
      </w:r>
      <w:r>
        <w:t>посещений не зафиксировано.</w:t>
      </w:r>
    </w:p>
    <w:p>
      <w:pPr>
        <w:pStyle w:val="ListBullet"/>
        <w:spacing w:line="360" w:lineRule="auto"/>
        <w:ind w:left="720"/>
      </w:pPr>
      <w:r>
        <w:t xml:space="preserve">Действие </w:t>
      </w:r>
      <w:r>
        <w:rPr>
          <w:b/>
        </w:rPr>
        <w:t>«Основной блок: Просмотр страницы площадки»</w:t>
      </w:r>
      <w:r>
        <w:t xml:space="preserve"> 5581 посетитель; 60.01 % конверсия посетителей; 75.38 % доля отказов (относительно визитов); 1.15 стр. глубина просмотра (в среднем, без учёта отказников); 01:37 время просмотра (в среднем, без учёта отказников);</w:t>
      </w:r>
    </w:p>
    <w:p>
      <w:pPr>
        <w:pStyle w:val="ListBullet"/>
        <w:spacing w:line="360" w:lineRule="auto"/>
        <w:ind w:left="720"/>
      </w:pPr>
      <w:r>
        <w:t xml:space="preserve">Действие </w:t>
      </w:r>
      <w:r>
        <w:rPr>
          <w:b/>
        </w:rPr>
        <w:t>«Основной блок: Клик на площадку»</w:t>
      </w:r>
      <w:r>
        <w:t xml:space="preserve"> 11 посетителей; 0.12 % конверсия посетителей; 0.0 % доля отказов (относительно визитов); 14.91 стр. глубина просмотра (в среднем, без учёта отказников); 19:19 время просмотра (в среднем, без учёта отказников);</w:t>
      </w:r>
    </w:p>
    <w:p>
      <w:pPr>
        <w:pStyle w:val="ListBullet"/>
        <w:spacing w:line="360" w:lineRule="auto"/>
        <w:ind w:left="720"/>
      </w:pPr>
      <w:r>
        <w:t xml:space="preserve">По действию </w:t>
      </w:r>
      <w:r>
        <w:rPr>
          <w:b/>
        </w:rPr>
        <w:t xml:space="preserve">«Основной блок: Клик на кнопку "Как добраться"» </w:t>
      </w:r>
      <w:r>
        <w:t>посещений не зафиксировано.</w:t>
      </w:r>
    </w:p>
    <w:p>
      <w:pPr>
        <w:pStyle w:val="ListBullet"/>
        <w:spacing w:line="360" w:lineRule="auto"/>
        <w:ind w:left="720"/>
      </w:pPr>
      <w:r>
        <w:t xml:space="preserve">По действию </w:t>
      </w:r>
      <w:r>
        <w:rPr>
          <w:b/>
        </w:rPr>
        <w:t xml:space="preserve">«Блок мероприятий: Клик на "Показать ещё" в блоке» </w:t>
      </w:r>
      <w:r>
        <w:t>посещений не зафиксировано.</w:t>
      </w:r>
    </w:p>
    <w:p>
      <w:pPr>
        <w:pStyle w:val="ListBullet"/>
        <w:spacing w:line="360" w:lineRule="auto"/>
        <w:ind w:left="720"/>
      </w:pPr>
      <w:r>
        <w:t xml:space="preserve">Действие </w:t>
      </w:r>
      <w:r>
        <w:rPr>
          <w:b/>
        </w:rPr>
        <w:t>«Блок мероприятий: Клик на мероприятие»</w:t>
      </w:r>
      <w:r>
        <w:t xml:space="preserve"> 33 посетителя; 0.35 % конверсия посетителей; 0.0 % доля отказов (относительно визитов); 3.79 стр. глубина просмотра (в среднем, без учёта отказников); 06:35 время просмотра (в среднем, без учёта отказников);</w:t>
      </w:r>
    </w:p>
    <w:p>
      <w:pPr>
        <w:pStyle w:val="ListBullet"/>
        <w:spacing w:line="360" w:lineRule="auto"/>
        <w:ind w:left="720"/>
      </w:pPr>
      <w:r>
        <w:t xml:space="preserve">Действие </w:t>
      </w:r>
      <w:r>
        <w:rPr>
          <w:b/>
        </w:rPr>
        <w:t>«Блок мероприятий: Просмотр страницы мероприятия»</w:t>
      </w:r>
      <w:r>
        <w:t xml:space="preserve"> 50 посетителей; 0.54 % конверсия посетителей; 0.0 % доля отказов (относительно визитов); 5.0 стр. глубина просмотра (в среднем, без учёта отказников); 06:39 время просмотра (в среднем, без учёта отказников);</w:t>
      </w:r>
    </w:p>
    <w:p>
      <w:pPr>
        <w:pStyle w:val="ListBullet"/>
        <w:spacing w:line="360" w:lineRule="auto"/>
        <w:ind w:left="720"/>
      </w:pPr>
      <w:r>
        <w:t xml:space="preserve">По действию </w:t>
      </w:r>
      <w:r>
        <w:rPr>
          <w:b/>
        </w:rPr>
        <w:t xml:space="preserve">«Блок отправки email: Клик на кнопку для подписки на рассылку» </w:t>
      </w:r>
      <w:r>
        <w:t>посещений не зафиксировано.</w:t>
      </w:r>
    </w:p>
    <w:p>
      <w:r>
        <w:br w:type="page"/>
      </w:r>
    </w:p>
    <w:p>
      <w:pPr>
        <w:pStyle w:val="ListNumber"/>
        <w:spacing w:line="360" w:lineRule="auto"/>
      </w:pPr>
      <w:r>
        <w:t>Диаграммы выполнения целевых действий:</w:t>
      </w:r>
    </w:p>
    <w:p>
      <w:r>
        <w:drawing>
          <wp:inline xmlns:a="http://schemas.openxmlformats.org/drawingml/2006/main" xmlns:pic="http://schemas.openxmlformats.org/drawingml/2006/picture">
            <wp:extent cx="5832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line="360" w:lineRule="auto"/>
      </w:pPr>
      <w:r>
        <w:t>Анализ выбросов по действиям:</w:t>
      </w:r>
    </w:p>
    <w:p>
      <w:pPr>
        <w:spacing w:line="360" w:lineRule="auto"/>
        <w:ind w:left="720"/>
      </w:pPr>
      <w:r>
        <w:t>Наибольшее число визитов включают действия:</w:t>
      </w:r>
    </w:p>
    <w:p>
      <w:pPr>
        <w:pStyle w:val="ListBullet"/>
        <w:spacing w:line="360" w:lineRule="auto"/>
        <w:ind w:left="1440"/>
      </w:pPr>
      <w:r>
        <w:t>«Основной блок: Просмотр страницы площадки» (8 833 визита) (выброс).</w:t>
      </w:r>
      <w:r>
        <w:t>Но так же имеет большое кол-во отказов (75.38)</w:t>
      </w:r>
    </w:p>
    <w:p>
      <w:pPr>
        <w:pStyle w:val="ListBullet"/>
        <w:spacing w:line="360" w:lineRule="auto"/>
        <w:ind w:left="1440"/>
      </w:pPr>
      <w:r>
        <w:t>«Блок мероприятий: Просмотр страницы мероприятия» (52 визита).</w:t>
      </w:r>
    </w:p>
    <w:p>
      <w:pPr>
        <w:pStyle w:val="ListBullet"/>
        <w:spacing w:line="360" w:lineRule="auto"/>
        <w:ind w:left="1440"/>
      </w:pPr>
      <w:r>
        <w:t>«Блок мероприятий: Клик на мероприятие» (34 визита).</w:t>
      </w:r>
    </w:p>
    <w:p>
      <w:pPr>
        <w:spacing w:line="360" w:lineRule="auto"/>
        <w:ind w:left="720"/>
      </w:pPr>
      <w:r>
        <w:t>Наименьшее число визитов включают действия:</w:t>
      </w:r>
    </w:p>
    <w:p>
      <w:pPr>
        <w:pStyle w:val="ListBullet"/>
        <w:spacing w:line="360" w:lineRule="auto"/>
        <w:ind w:left="1440"/>
      </w:pPr>
      <w:r>
        <w:t>«Основной блок: Успешный вход» (0 визитов).</w:t>
      </w:r>
    </w:p>
    <w:p>
      <w:pPr>
        <w:pStyle w:val="ListBullet"/>
        <w:spacing w:line="360" w:lineRule="auto"/>
        <w:ind w:left="1440"/>
      </w:pPr>
      <w:r>
        <w:t>«Основной блок: Клик на кнопку "Как добраться"» (0 визитов).</w:t>
      </w:r>
    </w:p>
    <w:p>
      <w:pPr>
        <w:pStyle w:val="ListBullet"/>
        <w:spacing w:line="360" w:lineRule="auto"/>
        <w:ind w:left="1440"/>
      </w:pPr>
      <w:r>
        <w:t>«Блок мероприятий: Клик на "Показать ещё" в блоке» (0 визитов).</w:t>
      </w:r>
    </w:p>
    <w:p>
      <w:pPr>
        <w:pStyle w:val="ListBullet"/>
        <w:spacing w:line="360" w:lineRule="auto"/>
        <w:ind w:left="1440"/>
      </w:pPr>
      <w:r>
        <w:t>«Блок отправки email: Клик на кнопку для подписки на рассылку» (0 визитов).</w:t>
      </w:r>
    </w:p>
    <w:p>
      <w:pPr>
        <w:pStyle w:val="ListNumber"/>
        <w:spacing w:line="360" w:lineRule="auto"/>
      </w:pPr>
      <w:r>
        <w:t>Группы:</w:t>
      </w:r>
    </w:p>
    <w:p>
      <w:pPr>
        <w:pStyle w:val="ListBullet"/>
        <w:spacing w:line="360" w:lineRule="auto"/>
      </w:pPr>
      <w:r>
        <w:t>Группа «Поиск» привлекла значительно меньше посетителей (5 070) и имеет значительно меньше отказников (10.57 %) чем группа «РСЯ» (8 177 посетителей; 35.96 % отказников), и при этом имеет значительно больше среднее время на сайте (07:43 у Поиска против 02:00 у РСЯ).</w:t>
      </w:r>
    </w:p>
    <w:p>
      <w:pPr>
        <w:pStyle w:val="ListBullet"/>
        <w:spacing w:line="360" w:lineRule="auto"/>
      </w:pPr>
      <w:r>
        <w:t xml:space="preserve">Лучшие показатели посещаемости демонстрируют кампании: </w:t>
      </w:r>
    </w:p>
    <w:p>
      <w:pPr>
        <w:pStyle w:val="ListBullet"/>
        <w:spacing w:line="360" w:lineRule="auto"/>
        <w:ind w:left="1440"/>
      </w:pPr>
      <w:r>
        <w:t>«Библиотеки Москвы/Поиск/Целевые» (4 671 посетителей) (выброс).</w:t>
      </w:r>
    </w:p>
    <w:p>
      <w:pPr>
        <w:pStyle w:val="ListBullet"/>
        <w:spacing w:line="360" w:lineRule="auto"/>
        <w:ind w:left="1440"/>
      </w:pPr>
      <w:r>
        <w:t>«Библиотеки Москвы/РСЯ/Библиотеки, книги» (3 733 посетителей) (выброс).</w:t>
      </w:r>
    </w:p>
    <w:p>
      <w:pPr>
        <w:pStyle w:val="ListBullet"/>
        <w:spacing w:line="360" w:lineRule="auto"/>
      </w:pPr>
      <w:r>
        <w:t xml:space="preserve">Худшие показатели посещаемости у следующих кампаний: </w:t>
      </w:r>
    </w:p>
    <w:p>
      <w:pPr>
        <w:pStyle w:val="ListBullet"/>
        <w:spacing w:line="360" w:lineRule="auto"/>
        <w:ind w:left="1440"/>
      </w:pPr>
      <w:r>
        <w:t>«Библиотеки Москвы/Поиск/ЕЧБ» (443 посетителя).</w:t>
      </w:r>
    </w:p>
    <w:p>
      <w:pPr>
        <w:pStyle w:val="ListBullet"/>
        <w:spacing w:line="360" w:lineRule="auto"/>
        <w:ind w:left="1440"/>
      </w:pPr>
      <w:r>
        <w:t>«Библиотеки Москвы/РСЯ/Книжные магазины приложения» (2 250 посетителей).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  <w:rPr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