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Выводы по контекстной кампании "Моя кампания"</w:t>
      </w:r>
      <w:r>
        <w:br/>
      </w:r>
    </w:p>
    <w:p>
      <w:pPr>
        <w:pStyle w:val="ListNumber"/>
      </w:pPr>
      <w:r>
        <w:t>Общие показатели:</w:t>
      </w:r>
    </w:p>
    <w:p>
      <w:pPr>
        <w:pStyle w:val="ListBullet"/>
      </w:pPr>
      <w:r>
        <w:t xml:space="preserve">Было привлечено </w:t>
      </w:r>
      <w:r>
        <w:rPr>
          <w:b/>
        </w:rPr>
        <w:t>6 822 уникальных посетителей</w:t>
      </w:r>
      <w:r>
        <w:t xml:space="preserve"> и совершено </w:t>
      </w:r>
      <w:r>
        <w:rPr>
          <w:b/>
        </w:rPr>
        <w:t>10 988 визитов.</w:t>
      </w:r>
    </w:p>
    <w:p>
      <w:pPr>
        <w:pStyle w:val="ListBullet"/>
      </w:pPr>
      <w:r>
        <w:rPr>
          <w:b/>
        </w:rPr>
        <w:t>Доля отказов</w:t>
      </w:r>
      <w:r>
        <w:t xml:space="preserve"> составила 27.58 % что больше, чем в органическом трафике (20.7 %) и больше, чем в предыдущей РК (26.08 %).</w:t>
      </w:r>
    </w:p>
    <w:p>
      <w:pPr>
        <w:pStyle w:val="ListBullet"/>
      </w:pPr>
      <w:r>
        <w:rPr>
          <w:b/>
        </w:rPr>
        <w:t>Глубина просмотра</w:t>
      </w:r>
      <w:r>
        <w:t xml:space="preserve"> составляет в среднем 1.0 стр., это меньше (в 1.16 раз), чем по органике (1.16 стр.), и меньше (в 1.49 раз) чем в предыдущей РК (1.49 стр.).</w:t>
      </w:r>
    </w:p>
    <w:p>
      <w:pPr>
        <w:pStyle w:val="ListBullet"/>
      </w:pPr>
      <w:r>
        <w:rPr>
          <w:b/>
        </w:rPr>
        <w:t>Среднее время на сайте</w:t>
      </w:r>
      <w:r>
        <w:t xml:space="preserve"> — 01:50 что меньше, чем у органического трафика (02:31) и значительно меньше, чем у трафика с предыдущей РК (06:45)</w:t>
      </w:r>
    </w:p>
    <w:p>
      <w:pPr>
        <w:pStyle w:val="ListBullet"/>
      </w:pPr>
      <w:r>
        <w:rPr>
          <w:b/>
        </w:rPr>
        <w:t>Доля новых посетителей</w:t>
      </w:r>
      <w:r>
        <w:t xml:space="preserve"> составила 98.08 % (c учётом отказов), что больше результата по органике (92.04 %) и больше, чем по предыдущей РК (95.85 % с учётом отказов)</w:t>
      </w:r>
    </w:p>
    <w:p>
      <w:pPr>
        <w:pStyle w:val="ListNumber"/>
        <w:spacing w:line="360" w:lineRule="auto"/>
      </w:pPr>
      <w:r>
        <w:t>Посещение страниц: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«История: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«Главная: посещение страницы»</w:t>
      </w:r>
      <w:r>
        <w:t xml:space="preserve"> 6770 посетителей; 99.24 % конверсия посетителей из лендинга; 27.53 % доля отказов (относительно визитов); 1.0 стр. глубина просмотра (в среднем, без учёта отказников); 01:50 время просмотра (в среднем, без учёта отказников); 98.06 %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«Подборки: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«Афиша: посещение раздела»</w:t>
      </w:r>
      <w:r>
        <w:t xml:space="preserve"> 40 посетителей; 0.59 % конверсия посетителей из лендинга; 35.71 % доля отказов (относительно визитов); 1.0 стр. глубина просмотра (в среднем, без учёта отказников); 00:57 время просмотра (в среднем, без учёта отказников); 92.5 % доля новых пользователей (с учётом отказов)</w:t>
      </w:r>
    </w:p>
    <w:p>
      <w:pPr>
        <w:pStyle w:val="ListBullet"/>
      </w:pPr>
      <w:r>
        <w:t xml:space="preserve">Действие </w:t>
      </w:r>
      <w:r>
        <w:rPr>
          <w:b/>
        </w:rPr>
        <w:t>«Маршруты: посещение раздела»</w:t>
      </w:r>
      <w:r>
        <w:t xml:space="preserve"> 13 посетителей; 0.19 % конверсия посетителей из лендинга; 30.77 % доля отказов (относительно визитов); 1.11 стр. глубина просмотра (в среднем, без учёта отказников); 01:15 время просмотра (в среднем, без учёта отказников); 100.0 %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«Квесты: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«Музеи: посещение раздела»</w:t>
      </w:r>
      <w:r>
        <w:t xml:space="preserve"> 2 посетителя; 0.03 % конверсия посетителей из лендинга; 0.0 % доля отказов (относительно визитов); 1.0 стр. глубина просмотра (в среднем, без учёта отказников); 00:15 время просмотра (в среднем, без учёта отказников); 100.0 %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«Здания: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«Памятники: посещение раздела»</w:t>
      </w:r>
      <w:r>
        <w:t xml:space="preserve"> 7 посетителей; 0.1 % конверсия посетителей из лендинга; 37.5 % доля отказов (относительно визитов); 1.0 стр. глубина просмотра (в среднем, без учёта отказников); 04:19 время просмотра (в среднем, без учёта отказников); 100.0 %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«Места: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«Личности: посещение раздела» </w:t>
      </w:r>
      <w:r>
        <w:t>посещений не зафиксировано.</w:t>
      </w:r>
    </w:p>
    <w:p>
      <w:r>
        <w:br w:type="page"/>
      </w:r>
    </w:p>
    <w:p>
      <w:pPr>
        <w:pStyle w:val="ListNumber"/>
      </w:pPr>
      <w:r>
        <w:t>Диаграммы выполнения целевых действий:</w:t>
      </w:r>
    </w:p>
    <w:p>
      <w:pPr>
        <w:ind w:left="720"/>
      </w:pPr>
      <w:r>
        <w:rPr>
          <w:i/>
        </w:rPr>
        <w:t>Недостаточно данных для построения диаграмм.</w:t>
      </w:r>
    </w:p>
    <w:p>
      <w:pPr>
        <w:pStyle w:val="ListNumber"/>
      </w:pPr>
      <w:r>
        <w:t>Анализ выбросов по действиям:</w:t>
      </w:r>
    </w:p>
    <w:p>
      <w:pPr>
        <w:ind w:left="720"/>
      </w:pPr>
      <w:r>
        <w:t>Наибольшее число визитов включают действия:</w:t>
      </w:r>
    </w:p>
    <w:p>
      <w:pPr>
        <w:pStyle w:val="ListBullet"/>
        <w:ind w:left="1440"/>
      </w:pPr>
      <w:r>
        <w:t>«Главная: посещение страницы» (10 930 визитов).</w:t>
      </w:r>
      <w:r>
        <w:t xml:space="preserve"> Так же, стоит отметить, что данное действие имеет относительно большую долю отказов (27.53 %).</w:t>
      </w:r>
      <w:r>
        <w:t xml:space="preserve"> Но, так же, относительно большее время просмотра (00:01:50).</w:t>
      </w:r>
    </w:p>
    <w:p>
      <w:pPr>
        <w:pStyle w:val="ListBullet"/>
        <w:ind w:left="1440"/>
      </w:pPr>
      <w:r>
        <w:t>«Афиша: посещение раздела» (42 визита).</w:t>
      </w:r>
      <w:r>
        <w:t xml:space="preserve"> Так же, стоит отметить, что данное действие имеет относительно большую долю отказов (35.71 %).</w:t>
      </w:r>
    </w:p>
    <w:p>
      <w:pPr>
        <w:pStyle w:val="ListBullet"/>
        <w:ind w:left="1440"/>
      </w:pPr>
      <w:r>
        <w:t>«Маршруты: посещение раздела» (13 визитов).</w:t>
      </w:r>
      <w:r>
        <w:t xml:space="preserve"> Так же, стоит отметить, что данное действие имеет относительно большую долю отказов (30.77 %).</w:t>
      </w:r>
    </w:p>
    <w:p>
      <w:pPr>
        <w:ind w:left="720"/>
      </w:pPr>
      <w:r>
        <w:t>Наименьшее число визитов включают действия:</w:t>
      </w:r>
    </w:p>
    <w:p>
      <w:pPr>
        <w:pStyle w:val="ListBullet"/>
        <w:ind w:left="1440"/>
      </w:pPr>
      <w:r>
        <w:t>«История: посещение раздела» (0 визитов).</w:t>
      </w:r>
    </w:p>
    <w:p>
      <w:pPr>
        <w:pStyle w:val="ListBullet"/>
        <w:ind w:left="1440"/>
      </w:pPr>
      <w:r>
        <w:t>«Подборки: посещение раздела» (0 визитов).</w:t>
      </w:r>
    </w:p>
    <w:p>
      <w:pPr>
        <w:pStyle w:val="ListBullet"/>
        <w:ind w:left="1440"/>
      </w:pPr>
      <w:r>
        <w:t>«Квесты: посещение раздела» (0 визитов).</w:t>
      </w:r>
    </w:p>
    <w:p>
      <w:pPr>
        <w:pStyle w:val="ListBullet"/>
        <w:ind w:left="1440"/>
      </w:pPr>
      <w:r>
        <w:t>«Здания: посещение раздела» (0 визитов).</w:t>
      </w:r>
    </w:p>
    <w:p>
      <w:pPr>
        <w:pStyle w:val="ListBullet"/>
        <w:ind w:left="1440"/>
      </w:pPr>
      <w:r>
        <w:t>«Места: посещение раздела» (0 визитов).</w:t>
      </w:r>
    </w:p>
    <w:p>
      <w:pPr>
        <w:pStyle w:val="ListBullet"/>
        <w:ind w:left="1440"/>
      </w:pPr>
      <w:r>
        <w:t>«Личности: посещение раздела» (0 визитов).</w:t>
      </w:r>
    </w:p>
    <w:p>
      <w:pPr>
        <w:pStyle w:val="ListNumber"/>
      </w:pPr>
      <w:r>
        <w:t>Группы:</w:t>
      </w:r>
    </w:p>
    <w:p>
      <w:pPr>
        <w:pStyle w:val="ListBullet"/>
      </w:pPr>
      <w:r>
        <w:t>«Группа Поиск» привлекла значительно меньше посетителей (251) и имеет значительно больше отказников (53.79 %) чем группа «Группа РСЯ» (6 573 посетителя; 26.94 % отказников), и при этом имеет меньше среднее время на сайте (01:36 у «Группа Поиск» против 01:50 у «Группа РСЯ»).</w:t>
      </w:r>
    </w:p>
    <w:p>
      <w:pPr>
        <w:pStyle w:val="ListBullet"/>
      </w:pPr>
      <w:r>
        <w:t>Лучшие показатели посещаемости демонстрируют кампании:</w:t>
      </w:r>
    </w:p>
    <w:p>
      <w:pPr>
        <w:pStyle w:val="ListBullet"/>
        <w:ind w:left="1440"/>
      </w:pPr>
      <w:r>
        <w:t>«Узнай Москву/РСЯ/Театры во время ВОВ» (6 573 посетителя).</w:t>
      </w:r>
      <w:r>
        <w:t xml:space="preserve"> Так же, стоит отметить, что данное действие имеет относительно большую долю отказов (26.94 %).</w:t>
      </w:r>
      <w:r>
        <w:t xml:space="preserve"> Но, так же, относительно большее время просмотра (00:01:50).</w:t>
      </w:r>
    </w:p>
    <w:p>
      <w:pPr>
        <w:pStyle w:val="ListBullet"/>
      </w:pPr>
      <w:r>
        <w:t>Худшие показатели посещаемости у следующих кампаний:</w:t>
      </w:r>
    </w:p>
    <w:p>
      <w:pPr>
        <w:pStyle w:val="ListBullet"/>
        <w:ind w:left="1440"/>
      </w:pPr>
      <w:r>
        <w:t>«Узнай Москву/Поиск/Театры во время ВОВ» (251 посетитель).</w:t>
      </w:r>
      <w:r>
        <w:t xml:space="preserve"> Так же, стоит отметить, что данное действие имеет относительно большую долю отказов (53.79 %).</w:t>
      </w:r>
      <w:r>
        <w:t xml:space="preserve"> Но относительно большее время просмотра (00:01:36).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left="720"/>
      <w:contextualSpacing/>
    </w:pPr>
    <w:rPr>
      <w:rFonts w:ascii="times new roman" w:hAnsi="times new roman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