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1 · IST-AUDIT</w:t>
      </w:r>
    </w:p>
    <w:p>
      <w:pPr>
        <w:pStyle w:val="Subtitle"/>
      </w:pPr>
      <w:r>
        <w:t>Datenschutz, Informationssicherheit und Apple-Review-Bereitschaft</w:t>
      </w:r>
    </w:p>
    <w:tbl>
      <w:tblPr>
        <w:tblStyle w:val="TableGrid"/>
        <w:tblW w:type="dxa" w:w="9360"/>
        <w:jc w:val="left"/>
        <w:tblLayout w:type="fixed"/>
        <w:tblLook w:firstColumn="1" w:firstRow="1" w:lastColumn="0" w:lastRow="0" w:noHBand="0" w:noVBand="1" w:val="04A0"/>
        <w:tblInd w:w="120" w:type="dxa"/>
      </w:tblPr>
      <w:tblGrid>
        <w:gridCol w:w="2100"/>
        <w:gridCol w:w="7260"/>
      </w:tblGrid>
      <w:tr>
        <w:tc>
          <w:tcPr>
            <w:tcW w:type="dxa" w:w="2100"/>
            <w:shd w:fill="F2F4F5"/>
            <w:tcMar>
              <w:top w:w="90" w:type="dxa"/>
              <w:start w:w="120" w:type="dxa"/>
              <w:bottom w:w="90" w:type="dxa"/>
              <w:end w:w="120" w:type="dxa"/>
            </w:tcMar>
            <w:vAlign w:val="center"/>
          </w:tcPr>
          <w:p>
            <w:r>
              <w:rPr>
                <w:b/>
              </w:rPr>
              <w:t>Produkt</w:t>
            </w:r>
          </w:p>
        </w:tc>
        <w:tc>
          <w:tcPr>
            <w:tcW w:type="dxa" w:w="7260"/>
            <w:tcMar>
              <w:top w:w="90" w:type="dxa"/>
              <w:start w:w="120" w:type="dxa"/>
              <w:bottom w:w="90" w:type="dxa"/>
              <w:end w:w="120" w:type="dxa"/>
            </w:tcMar>
            <w:vAlign w:val="center"/>
          </w:tcPr>
          <w:p>
            <w:r>
              <w:t>Tschlüssli / internes Xcode-Projekt AfterLife</w:t>
            </w:r>
          </w:p>
        </w:tc>
      </w:tr>
      <w:tr>
        <w:tc>
          <w:tcPr>
            <w:tcW w:type="dxa" w:w="2100"/>
            <w:shd w:fill="F2F4F5"/>
            <w:tcMar>
              <w:top w:w="90" w:type="dxa"/>
              <w:start w:w="120" w:type="dxa"/>
              <w:bottom w:w="90" w:type="dxa"/>
              <w:end w:w="120" w:type="dxa"/>
            </w:tcMar>
            <w:vAlign w:val="center"/>
          </w:tcPr>
          <w:p>
            <w:r>
              <w:rPr>
                <w:b/>
              </w:rPr>
              <w:t>Auditstand</w:t>
            </w:r>
          </w:p>
        </w:tc>
        <w:tc>
          <w:tcPr>
            <w:tcW w:type="dxa" w:w="7260"/>
            <w:tcMar>
              <w:top w:w="90" w:type="dxa"/>
              <w:start w:w="120" w:type="dxa"/>
              <w:bottom w:w="90" w:type="dxa"/>
              <w:end w:w="120" w:type="dxa"/>
            </w:tcMar>
            <w:vAlign w:val="center"/>
          </w:tcPr>
          <w:p>
            <w:r>
              <w:t>17. Juli 2026</w:t>
            </w:r>
          </w:p>
        </w:tc>
      </w:tr>
      <w:tr>
        <w:tc>
          <w:tcPr>
            <w:tcW w:type="dxa" w:w="2100"/>
            <w:shd w:fill="F2F4F5"/>
            <w:tcMar>
              <w:top w:w="90" w:type="dxa"/>
              <w:start w:w="120" w:type="dxa"/>
              <w:bottom w:w="90" w:type="dxa"/>
              <w:end w:w="120" w:type="dxa"/>
            </w:tcMar>
            <w:vAlign w:val="center"/>
          </w:tcPr>
          <w:p>
            <w:r>
              <w:rPr>
                <w:b/>
              </w:rPr>
              <w:t>Prüfart</w:t>
            </w:r>
          </w:p>
        </w:tc>
        <w:tc>
          <w:tcPr>
            <w:tcW w:type="dxa" w:w="7260"/>
            <w:tcMar>
              <w:top w:w="90" w:type="dxa"/>
              <w:start w:w="120" w:type="dxa"/>
              <w:bottom w:w="90" w:type="dxa"/>
              <w:end w:w="120" w:type="dxa"/>
            </w:tcMar>
            <w:vAlign w:val="center"/>
          </w:tcPr>
          <w:p>
            <w:r>
              <w:t>Statische Prüfung von Quellcode und Projektkonfiguration</w:t>
            </w:r>
          </w:p>
        </w:tc>
      </w:tr>
      <w:tr>
        <w:tc>
          <w:tcPr>
            <w:tcW w:type="dxa" w:w="2100"/>
            <w:shd w:fill="F2F4F5"/>
            <w:tcMar>
              <w:top w:w="90" w:type="dxa"/>
              <w:start w:w="120" w:type="dxa"/>
              <w:bottom w:w="90" w:type="dxa"/>
              <w:end w:w="120" w:type="dxa"/>
            </w:tcMar>
            <w:vAlign w:val="center"/>
          </w:tcPr>
          <w:p>
            <w:r>
              <w:rPr>
                <w:b/>
              </w:rPr>
              <w:t>Projektpfad</w:t>
            </w:r>
          </w:p>
        </w:tc>
        <w:tc>
          <w:tcPr>
            <w:tcW w:type="dxa" w:w="7260"/>
            <w:tcMar>
              <w:top w:w="90" w:type="dxa"/>
              <w:start w:w="120" w:type="dxa"/>
              <w:bottom w:w="90" w:type="dxa"/>
              <w:end w:w="120" w:type="dxa"/>
            </w:tcMar>
            <w:vAlign w:val="center"/>
          </w:tcPr>
          <w:p>
            <w:r>
              <w:t>/Users/reneengeler/AfterLife</w:t>
            </w:r>
          </w:p>
        </w:tc>
      </w:tr>
      <w:tr>
        <w:tc>
          <w:tcPr>
            <w:tcW w:type="dxa" w:w="2100"/>
            <w:shd w:fill="F2F4F5"/>
            <w:tcMar>
              <w:top w:w="90" w:type="dxa"/>
              <w:start w:w="120" w:type="dxa"/>
              <w:bottom w:w="90" w:type="dxa"/>
              <w:end w:w="120" w:type="dxa"/>
            </w:tcMar>
            <w:vAlign w:val="center"/>
          </w:tcPr>
          <w:p>
            <w:r>
              <w:rPr>
                <w:b/>
              </w:rPr>
              <w:t>Status</w:t>
            </w:r>
          </w:p>
        </w:tc>
        <w:tc>
          <w:tcPr>
            <w:tcW w:type="dxa" w:w="7260"/>
            <w:tcMar>
              <w:top w:w="90" w:type="dxa"/>
              <w:start w:w="120" w:type="dxa"/>
              <w:bottom w:w="90" w:type="dxa"/>
              <w:end w:w="120" w:type="dxa"/>
            </w:tcMar>
            <w:vAlign w:val="center"/>
          </w:tcPr>
          <w:p>
            <w:r>
              <w:t>Erstbefund – noch keine Korrekturen umgesetzt</w:t>
            </w:r>
          </w:p>
        </w:tc>
      </w:tr>
    </w:tbl>
    <w:p>
      <w:pPr>
        <w:pStyle w:val="Heading1"/>
      </w:pPr>
      <w:r>
        <w:t>Zweck und Aussagekraft</w:t>
      </w:r>
    </w:p>
    <w:p>
      <w:r>
        <w:t>Dieser Bericht dokumentiert den technischen Ist-Zustand der iOS-App anhand des lokal vorliegenden Quellcodes. Er trennt bestätigte Code-Fakten, daraus abgeleitete Risiken und extern zu klärende Punkte. Er ist Arbeits- und Abnahmedokument für die folgenden Umsetzungsphasen.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4D6"/>
            <w:tcMar>
              <w:top w:w="90" w:type="dxa"/>
              <w:start w:w="120" w:type="dxa"/>
              <w:bottom w:w="90" w:type="dxa"/>
              <w:end w:w="120" w:type="dxa"/>
            </w:tcMar>
            <w:vAlign w:val="center"/>
          </w:tcPr>
          <w:p>
            <w:r>
              <w:t>Wichtige Grenze: Nicht geprüft wurden produktiver Netzwerkverkehr, Server- und Vercel-Konfiguration, Webseiteninhalte, Verträge mit Dienstleistern, App Store Connect, reale Geräte-Backups oder ein eingereichtes App-Archiv. Rechtliche Bewertungen sind durch eine qualifizierte Fachperson zu bestätigen.</w:t>
            </w:r>
          </w:p>
        </w:tc>
      </w:tr>
    </w:tbl>
    <w:p>
      <w:pPr>
        <w:pStyle w:val="Heading1"/>
      </w:pPr>
      <w:r>
        <w:t>Management-Zusammenfassung</w:t>
      </w:r>
    </w:p>
    <w:p>
      <w:r>
        <w:t>Der aktuelle Stand ist noch nicht freigabereif für die Verarbeitung der vorgesehenen hochsensiblen Vorsorge-, Gesundheits-, Finanz- und Zugangsdaten. Besonders kritisch ist, dass Passwörter trotz vorhandenem Keychain zusätzlich im Klartext in AppStorage und SwiftData geführt und in Exportausgaben übernommen werden. Außerdem werden IBANs an einen externen Dienst in der URL übertragen und Einladungstokens protokolliert beziehungsweise persistent in UserDefaults gehalten.</w:t>
      </w:r>
    </w:p>
    <w:tbl>
      <w:tblPr>
        <w:tblStyle w:val="TableGrid"/>
        <w:tblW w:type="dxa" w:w="9360"/>
        <w:jc w:val="left"/>
        <w:tblLayout w:type="fixed"/>
        <w:tblLook w:firstColumn="1" w:firstRow="1" w:lastColumn="0" w:lastRow="0" w:noHBand="0" w:noVBand="1" w:val="04A0"/>
        <w:tblInd w:w="120" w:type="dxa"/>
      </w:tblPr>
      <w:tblGrid>
        <w:gridCol w:w="1500"/>
        <w:gridCol w:w="1200"/>
        <w:gridCol w:w="6660"/>
      </w:tblGrid>
      <w:tr>
        <w:trPr>
          <w:tblHeader w:val="true"/>
        </w:trPr>
        <w:tc>
          <w:tcPr>
            <w:tcW w:type="dxa" w:w="1500"/>
            <w:shd w:fill="2E6F73"/>
            <w:tcMar>
              <w:top w:w="90" w:type="dxa"/>
              <w:start w:w="120" w:type="dxa"/>
              <w:bottom w:w="90" w:type="dxa"/>
              <w:end w:w="120" w:type="dxa"/>
            </w:tcMar>
            <w:vAlign w:val="center"/>
          </w:tcPr>
          <w:p>
            <w:r>
              <w:rPr>
                <w:b/>
                <w:color w:val="FFFFFF"/>
              </w:rPr>
              <w:t>Priorität</w:t>
            </w:r>
          </w:p>
        </w:tc>
        <w:tc>
          <w:tcPr>
            <w:tcW w:type="dxa" w:w="1200"/>
            <w:shd w:fill="2E6F73"/>
            <w:tcMar>
              <w:top w:w="90" w:type="dxa"/>
              <w:start w:w="120" w:type="dxa"/>
              <w:bottom w:w="90" w:type="dxa"/>
              <w:end w:w="120" w:type="dxa"/>
            </w:tcMar>
            <w:vAlign w:val="center"/>
          </w:tcPr>
          <w:p>
            <w:r>
              <w:rPr>
                <w:b/>
                <w:color w:val="FFFFFF"/>
              </w:rPr>
              <w:t>Anzahl</w:t>
            </w:r>
          </w:p>
        </w:tc>
        <w:tc>
          <w:tcPr>
            <w:tcW w:type="dxa" w:w="6660"/>
            <w:shd w:fill="2E6F73"/>
            <w:tcMar>
              <w:top w:w="90" w:type="dxa"/>
              <w:start w:w="120" w:type="dxa"/>
              <w:bottom w:w="90" w:type="dxa"/>
              <w:end w:w="120" w:type="dxa"/>
            </w:tcMar>
            <w:vAlign w:val="center"/>
          </w:tcPr>
          <w:p>
            <w:r>
              <w:rPr>
                <w:b/>
                <w:color w:val="FFFFFF"/>
              </w:rPr>
              <w:t>Bedeutung</w:t>
            </w:r>
          </w:p>
        </w:tc>
      </w:tr>
      <w:tr>
        <w:trPr>
          <w:cantSplit w:val="true"/>
        </w:trPr>
        <w:tc>
          <w:tcPr>
            <w:tcW w:type="dxa" w:w="1500"/>
            <w:shd w:fill="F8D7DA"/>
            <w:tcMar>
              <w:top w:w="90" w:type="dxa"/>
              <w:start w:w="120" w:type="dxa"/>
              <w:bottom w:w="90" w:type="dxa"/>
              <w:end w:w="120" w:type="dxa"/>
            </w:tcMar>
            <w:vAlign w:val="center"/>
          </w:tcPr>
          <w:p>
            <w:r>
              <w:t>P0</w:t>
            </w:r>
          </w:p>
        </w:tc>
        <w:tc>
          <w:tcPr>
            <w:tcW w:type="dxa" w:w="1200"/>
            <w:tcMar>
              <w:top w:w="90" w:type="dxa"/>
              <w:start w:w="120" w:type="dxa"/>
              <w:bottom w:w="90" w:type="dxa"/>
              <w:end w:w="120" w:type="dxa"/>
            </w:tcMar>
            <w:vAlign w:val="center"/>
          </w:tcPr>
          <w:p>
            <w:r>
              <w:t>4</w:t>
            </w:r>
          </w:p>
        </w:tc>
        <w:tc>
          <w:tcPr>
            <w:tcW w:type="dxa" w:w="6660"/>
            <w:tcMar>
              <w:top w:w="90" w:type="dxa"/>
              <w:start w:w="120" w:type="dxa"/>
              <w:bottom w:w="90" w:type="dxa"/>
              <w:end w:w="120" w:type="dxa"/>
            </w:tcMar>
            <w:vAlign w:val="center"/>
          </w:tcPr>
          <w:p>
            <w:r>
              <w:t>Vor produktiver Nutzung zwingend beheben</w:t>
            </w:r>
          </w:p>
        </w:tc>
      </w:tr>
      <w:tr>
        <w:trPr>
          <w:cantSplit w:val="true"/>
        </w:trPr>
        <w:tc>
          <w:tcPr>
            <w:tcW w:type="dxa" w:w="1500"/>
            <w:shd w:fill="FFF0CE"/>
            <w:tcMar>
              <w:top w:w="90" w:type="dxa"/>
              <w:start w:w="120" w:type="dxa"/>
              <w:bottom w:w="90" w:type="dxa"/>
              <w:end w:w="120" w:type="dxa"/>
            </w:tcMar>
            <w:vAlign w:val="center"/>
          </w:tcPr>
          <w:p>
            <w:r>
              <w:t>P1</w:t>
            </w:r>
          </w:p>
        </w:tc>
        <w:tc>
          <w:tcPr>
            <w:tcW w:type="dxa" w:w="1200"/>
            <w:tcMar>
              <w:top w:w="90" w:type="dxa"/>
              <w:start w:w="120" w:type="dxa"/>
              <w:bottom w:w="90" w:type="dxa"/>
              <w:end w:w="120" w:type="dxa"/>
            </w:tcMar>
            <w:vAlign w:val="center"/>
          </w:tcPr>
          <w:p>
            <w:r>
              <w:t>8</w:t>
            </w:r>
          </w:p>
        </w:tc>
        <w:tc>
          <w:tcPr>
            <w:tcW w:type="dxa" w:w="6660"/>
            <w:tcMar>
              <w:top w:w="90" w:type="dxa"/>
              <w:start w:w="120" w:type="dxa"/>
              <w:bottom w:w="90" w:type="dxa"/>
              <w:end w:w="120" w:type="dxa"/>
            </w:tcMar>
            <w:vAlign w:val="center"/>
          </w:tcPr>
          <w:p>
            <w:r>
              <w:t>Vor App-Store-Freigabe beziehungsweise Pilotbetrieb beheben oder verbindlich klären</w:t>
            </w:r>
          </w:p>
        </w:tc>
      </w:tr>
      <w:tr>
        <w:trPr>
          <w:cantSplit w:val="true"/>
        </w:trPr>
        <w:tc>
          <w:tcPr>
            <w:tcW w:type="dxa" w:w="1500"/>
            <w:shd w:fill="E7F1F2"/>
            <w:tcMar>
              <w:top w:w="90" w:type="dxa"/>
              <w:start w:w="120" w:type="dxa"/>
              <w:bottom w:w="90" w:type="dxa"/>
              <w:end w:w="120" w:type="dxa"/>
            </w:tcMar>
            <w:vAlign w:val="center"/>
          </w:tcPr>
          <w:p>
            <w:r>
              <w:t>P2</w:t>
            </w:r>
          </w:p>
        </w:tc>
        <w:tc>
          <w:tcPr>
            <w:tcW w:type="dxa" w:w="1200"/>
            <w:tcMar>
              <w:top w:w="90" w:type="dxa"/>
              <w:start w:w="120" w:type="dxa"/>
              <w:bottom w:w="90" w:type="dxa"/>
              <w:end w:w="120" w:type="dxa"/>
            </w:tcMar>
            <w:vAlign w:val="center"/>
          </w:tcPr>
          <w:p>
            <w:r>
              <w:t>4</w:t>
            </w:r>
          </w:p>
        </w:tc>
        <w:tc>
          <w:tcPr>
            <w:tcW w:type="dxa" w:w="6660"/>
            <w:tcMar>
              <w:top w:w="90" w:type="dxa"/>
              <w:start w:w="120" w:type="dxa"/>
              <w:bottom w:w="90" w:type="dxa"/>
              <w:end w:w="120" w:type="dxa"/>
            </w:tcMar>
            <w:vAlign w:val="center"/>
          </w:tcPr>
          <w:p>
            <w:r>
              <w:t>Härtung und dokumentierte Qualitätsverbesserung</w:t>
            </w:r>
          </w:p>
        </w:tc>
      </w:tr>
      <w:tr>
        <w:trPr>
          <w:cantSplit w:val="true"/>
        </w:trPr>
        <w:tc>
          <w:tcPr>
            <w:tcW w:type="dxa" w:w="1500"/>
            <w:tcMar>
              <w:top w:w="90" w:type="dxa"/>
              <w:start w:w="120" w:type="dxa"/>
              <w:bottom w:w="90" w:type="dxa"/>
              <w:end w:w="120" w:type="dxa"/>
            </w:tcMar>
            <w:vAlign w:val="center"/>
          </w:tcPr>
          <w:p>
            <w:r>
              <w:t>Positiv</w:t>
            </w:r>
          </w:p>
        </w:tc>
        <w:tc>
          <w:tcPr>
            <w:tcW w:type="dxa" w:w="1200"/>
            <w:tcMar>
              <w:top w:w="90" w:type="dxa"/>
              <w:start w:w="120" w:type="dxa"/>
              <w:bottom w:w="90" w:type="dxa"/>
              <w:end w:w="120" w:type="dxa"/>
            </w:tcMar>
            <w:vAlign w:val="center"/>
          </w:tcPr>
          <w:p>
            <w:r>
              <w:t>6</w:t>
            </w:r>
          </w:p>
        </w:tc>
        <w:tc>
          <w:tcPr>
            <w:tcW w:type="dxa" w:w="6660"/>
            <w:tcMar>
              <w:top w:w="90" w:type="dxa"/>
              <w:start w:w="120" w:type="dxa"/>
              <w:bottom w:w="90" w:type="dxa"/>
              <w:end w:w="120" w:type="dxa"/>
            </w:tcMar>
            <w:vAlign w:val="center"/>
          </w:tcPr>
          <w:p>
            <w:r>
              <w:t>Bereits vorhandene geeignete Grundlagen</w:t>
            </w:r>
          </w:p>
        </w:tc>
      </w:tr>
    </w:tbl>
    <w:p>
      <w:pPr>
        <w:pStyle w:val="Heading2"/>
      </w:pPr>
      <w:r>
        <w:t>Prioritätsdefinition</w:t>
      </w:r>
    </w:p>
    <w:p>
      <w:pPr>
        <w:pStyle w:val="ListBullet"/>
      </w:pPr>
      <w:r>
        <w:t>P0 – unmittelbares Risiko für vertrauliche Daten oder grundlegende Sicherheitsarchitektur.</w:t>
      </w:r>
    </w:p>
    <w:p>
      <w:pPr>
        <w:pStyle w:val="ListBullet"/>
      </w:pPr>
      <w:r>
        <w:t>P1 – wesentliche Apple-, Datenschutz- oder Sicherheitslücke vor Veröffentlichung.</w:t>
      </w:r>
    </w:p>
    <w:p>
      <w:pPr>
        <w:pStyle w:val="ListBullet"/>
      </w:pPr>
      <w:r>
        <w:t>P2 – sinnvolle Härtung, Nachweisführung oder Wartbarkeitsverbesserung.</w:t>
      </w:r>
    </w:p>
    <w:p>
      <w:pPr>
        <w:pStyle w:val="ListBullet"/>
      </w:pPr>
      <w:r>
        <w:t>OFFEN – im lokalen Code nicht abschließend feststellbar; externer Nachweis erforderlich.</w:t>
      </w:r>
    </w:p>
    <w:p>
      <w:pPr>
        <w:pStyle w:val="Heading1"/>
      </w:pPr>
      <w:r>
        <w:t>Kritische Befunde</w:t>
      </w:r>
    </w:p>
    <w:tbl>
      <w:tblPr>
        <w:tblStyle w:val="TableGrid"/>
        <w:tblW w:type="dxa" w:w="9360"/>
        <w:jc w:val="left"/>
        <w:tblLayout w:type="fixed"/>
        <w:tblLook w:firstColumn="1" w:firstRow="1" w:lastColumn="0" w:lastRow="0" w:noHBand="0" w:noVBand="1" w:val="04A0"/>
        <w:tblInd w:w="120" w:type="dxa"/>
      </w:tblPr>
      <w:tblGrid>
        <w:gridCol w:w="1000"/>
        <w:gridCol w:w="2200"/>
        <w:gridCol w:w="3460"/>
        <w:gridCol w:w="2700"/>
      </w:tblGrid>
      <w:tr>
        <w:trPr>
          <w:tblHeader w:val="true"/>
        </w:trPr>
        <w:tc>
          <w:tcPr>
            <w:tcW w:type="dxa" w:w="1000"/>
            <w:shd w:fill="2E6F73"/>
            <w:tcMar>
              <w:top w:w="90" w:type="dxa"/>
              <w:start w:w="120" w:type="dxa"/>
              <w:bottom w:w="90" w:type="dxa"/>
              <w:end w:w="120" w:type="dxa"/>
            </w:tcMar>
            <w:vAlign w:val="center"/>
          </w:tcPr>
          <w:p>
            <w:r>
              <w:rPr>
                <w:b/>
                <w:color w:val="FFFFFF"/>
              </w:rPr>
              <w:t>ID</w:t>
            </w:r>
          </w:p>
        </w:tc>
        <w:tc>
          <w:tcPr>
            <w:tcW w:type="dxa" w:w="2200"/>
            <w:shd w:fill="2E6F73"/>
            <w:tcMar>
              <w:top w:w="90" w:type="dxa"/>
              <w:start w:w="120" w:type="dxa"/>
              <w:bottom w:w="90" w:type="dxa"/>
              <w:end w:w="120" w:type="dxa"/>
            </w:tcMar>
            <w:vAlign w:val="center"/>
          </w:tcPr>
          <w:p>
            <w:r>
              <w:rPr>
                <w:b/>
                <w:color w:val="FFFFFF"/>
              </w:rPr>
              <w:t>Befund</w:t>
            </w:r>
          </w:p>
        </w:tc>
        <w:tc>
          <w:tcPr>
            <w:tcW w:type="dxa" w:w="3460"/>
            <w:shd w:fill="2E6F73"/>
            <w:tcMar>
              <w:top w:w="90" w:type="dxa"/>
              <w:start w:w="120" w:type="dxa"/>
              <w:bottom w:w="90" w:type="dxa"/>
              <w:end w:w="120" w:type="dxa"/>
            </w:tcMar>
            <w:vAlign w:val="center"/>
          </w:tcPr>
          <w:p>
            <w:r>
              <w:rPr>
                <w:b/>
                <w:color w:val="FFFFFF"/>
              </w:rPr>
              <w:t>Risiko</w:t>
            </w:r>
          </w:p>
        </w:tc>
        <w:tc>
          <w:tcPr>
            <w:tcW w:type="dxa" w:w="2700"/>
            <w:shd w:fill="2E6F73"/>
            <w:tcMar>
              <w:top w:w="90" w:type="dxa"/>
              <w:start w:w="120" w:type="dxa"/>
              <w:bottom w:w="90" w:type="dxa"/>
              <w:end w:w="120" w:type="dxa"/>
            </w:tcMar>
            <w:vAlign w:val="center"/>
          </w:tcPr>
          <w:p>
            <w:r>
              <w:rPr>
                <w:b/>
                <w:color w:val="FFFFFF"/>
              </w:rPr>
              <w:t>Code-Nachweis</w:t>
            </w:r>
          </w:p>
        </w:tc>
      </w:tr>
      <w:tr>
        <w:trPr>
          <w:cantSplit w:val="true"/>
        </w:trPr>
        <w:tc>
          <w:tcPr>
            <w:tcW w:type="dxa" w:w="1000"/>
            <w:shd w:fill="F8D7DA"/>
            <w:tcMar>
              <w:top w:w="90" w:type="dxa"/>
              <w:start w:w="120" w:type="dxa"/>
              <w:bottom w:w="90" w:type="dxa"/>
              <w:end w:w="120" w:type="dxa"/>
            </w:tcMar>
            <w:vAlign w:val="center"/>
          </w:tcPr>
          <w:p>
            <w:r>
              <w:t>P0-01</w:t>
            </w:r>
          </w:p>
        </w:tc>
        <w:tc>
          <w:tcPr>
            <w:tcW w:type="dxa" w:w="2200"/>
            <w:tcMar>
              <w:top w:w="90" w:type="dxa"/>
              <w:start w:w="120" w:type="dxa"/>
              <w:bottom w:w="90" w:type="dxa"/>
              <w:end w:w="120" w:type="dxa"/>
            </w:tcMar>
            <w:vAlign w:val="center"/>
          </w:tcPr>
          <w:p>
            <w:r>
              <w:t>Passwörter mehrfach im Klartext gespeichert</w:t>
            </w:r>
          </w:p>
        </w:tc>
        <w:tc>
          <w:tcPr>
            <w:tcW w:type="dxa" w:w="3460"/>
            <w:tcMar>
              <w:top w:w="90" w:type="dxa"/>
              <w:start w:w="120" w:type="dxa"/>
              <w:bottom w:w="90" w:type="dxa"/>
              <w:end w:w="120" w:type="dxa"/>
            </w:tcMar>
            <w:vAlign w:val="center"/>
          </w:tcPr>
          <w:p>
            <w:r>
              <w:t>`gespeichertesPasswort` liegt in AppStorage; `registrierungsPasswort` und Konto-Passwörter liegen in SwiftData. Damit wird der Keychain-Schutz umgangen.</w:t>
            </w:r>
          </w:p>
        </w:tc>
        <w:tc>
          <w:tcPr>
            <w:tcW w:type="dxa" w:w="2700"/>
            <w:tcMar>
              <w:top w:w="90" w:type="dxa"/>
              <w:start w:w="120" w:type="dxa"/>
              <w:bottom w:w="90" w:type="dxa"/>
              <w:end w:w="120" w:type="dxa"/>
            </w:tcMar>
            <w:vAlign w:val="center"/>
          </w:tcPr>
          <w:p>
            <w:r>
              <w:t>Registrierung.swift:44,790; ProfilModell.swift:31–34; Profil.swift:1045–1048; AboModell.swift:54–66</w:t>
            </w:r>
          </w:p>
        </w:tc>
      </w:tr>
      <w:tr>
        <w:trPr>
          <w:cantSplit w:val="true"/>
        </w:trPr>
        <w:tc>
          <w:tcPr>
            <w:tcW w:type="dxa" w:w="1000"/>
            <w:shd w:fill="F8D7DA"/>
            <w:tcMar>
              <w:top w:w="90" w:type="dxa"/>
              <w:start w:w="120" w:type="dxa"/>
              <w:bottom w:w="90" w:type="dxa"/>
              <w:end w:w="120" w:type="dxa"/>
            </w:tcMar>
            <w:vAlign w:val="center"/>
          </w:tcPr>
          <w:p>
            <w:r>
              <w:t>P0-02</w:t>
            </w:r>
          </w:p>
        </w:tc>
        <w:tc>
          <w:tcPr>
            <w:tcW w:type="dxa" w:w="2200"/>
            <w:tcMar>
              <w:top w:w="90" w:type="dxa"/>
              <w:start w:w="120" w:type="dxa"/>
              <w:bottom w:w="90" w:type="dxa"/>
              <w:end w:w="120" w:type="dxa"/>
            </w:tcMar>
            <w:vAlign w:val="center"/>
          </w:tcPr>
          <w:p>
            <w:r>
              <w:t>Passwörter werden in Dossier/PDF-Ausgaben übernommen</w:t>
            </w:r>
          </w:p>
        </w:tc>
        <w:tc>
          <w:tcPr>
            <w:tcW w:type="dxa" w:w="3460"/>
            <w:tcMar>
              <w:top w:w="90" w:type="dxa"/>
              <w:start w:w="120" w:type="dxa"/>
              <w:bottom w:w="90" w:type="dxa"/>
              <w:end w:w="120" w:type="dxa"/>
            </w:tcMar>
            <w:vAlign w:val="center"/>
          </w:tcPr>
          <w:p>
            <w:r>
              <w:t>Profil- und Konto-Passwörter werden beim Zeichnen des Dossiers ausgegeben. Ein geteiltes PDF kann dadurch Zugangsdaten offenlegen.</w:t>
            </w:r>
          </w:p>
        </w:tc>
        <w:tc>
          <w:tcPr>
            <w:tcW w:type="dxa" w:w="2700"/>
            <w:tcMar>
              <w:top w:w="90" w:type="dxa"/>
              <w:start w:w="120" w:type="dxa"/>
              <w:bottom w:w="90" w:type="dxa"/>
              <w:end w:w="120" w:type="dxa"/>
            </w:tcMar>
            <w:vAlign w:val="center"/>
          </w:tcPr>
          <w:p>
            <w:r>
              <w:t>Profil.swift:2762, 2918, 2970–2974</w:t>
            </w:r>
          </w:p>
        </w:tc>
      </w:tr>
      <w:tr>
        <w:trPr>
          <w:cantSplit w:val="true"/>
        </w:trPr>
        <w:tc>
          <w:tcPr>
            <w:tcW w:type="dxa" w:w="1000"/>
            <w:shd w:fill="F8D7DA"/>
            <w:tcMar>
              <w:top w:w="90" w:type="dxa"/>
              <w:start w:w="120" w:type="dxa"/>
              <w:bottom w:w="90" w:type="dxa"/>
              <w:end w:w="120" w:type="dxa"/>
            </w:tcMar>
            <w:vAlign w:val="center"/>
          </w:tcPr>
          <w:p>
            <w:r>
              <w:t>P0-03</w:t>
            </w:r>
          </w:p>
        </w:tc>
        <w:tc>
          <w:tcPr>
            <w:tcW w:type="dxa" w:w="2200"/>
            <w:tcMar>
              <w:top w:w="90" w:type="dxa"/>
              <w:start w:w="120" w:type="dxa"/>
              <w:bottom w:w="90" w:type="dxa"/>
              <w:end w:w="120" w:type="dxa"/>
            </w:tcMar>
            <w:vAlign w:val="center"/>
          </w:tcPr>
          <w:p>
            <w:r>
              <w:t>Vollständige IBAN an Drittanbieter übertragen</w:t>
            </w:r>
          </w:p>
        </w:tc>
        <w:tc>
          <w:tcPr>
            <w:tcW w:type="dxa" w:w="3460"/>
            <w:tcMar>
              <w:top w:w="90" w:type="dxa"/>
              <w:start w:w="120" w:type="dxa"/>
              <w:bottom w:w="90" w:type="dxa"/>
              <w:end w:w="120" w:type="dxa"/>
            </w:tcMar>
            <w:vAlign w:val="center"/>
          </w:tcPr>
          <w:p>
            <w:r>
              <w:t>Die IBAN wird als URL-Pfad an openiban.com gesendet. URLs können in Infrastruktur-, Proxy- oder Serverlogs landen; Rechtsgrundlage und Auftragsverarbeitung sind nicht belegt.</w:t>
            </w:r>
          </w:p>
        </w:tc>
        <w:tc>
          <w:tcPr>
            <w:tcW w:type="dxa" w:w="2700"/>
            <w:tcMar>
              <w:top w:w="90" w:type="dxa"/>
              <w:start w:w="120" w:type="dxa"/>
              <w:bottom w:w="90" w:type="dxa"/>
              <w:end w:w="120" w:type="dxa"/>
            </w:tcMar>
            <w:vAlign w:val="center"/>
          </w:tcPr>
          <w:p>
            <w:r>
              <w:t>Finanzen.swift:2083–2096</w:t>
            </w:r>
          </w:p>
        </w:tc>
      </w:tr>
      <w:tr>
        <w:trPr>
          <w:cantSplit w:val="true"/>
        </w:trPr>
        <w:tc>
          <w:tcPr>
            <w:tcW w:type="dxa" w:w="1000"/>
            <w:shd w:fill="F8D7DA"/>
            <w:tcMar>
              <w:top w:w="90" w:type="dxa"/>
              <w:start w:w="120" w:type="dxa"/>
              <w:bottom w:w="90" w:type="dxa"/>
              <w:end w:w="120" w:type="dxa"/>
            </w:tcMar>
            <w:vAlign w:val="center"/>
          </w:tcPr>
          <w:p>
            <w:r>
              <w:t>P0-04</w:t>
            </w:r>
          </w:p>
        </w:tc>
        <w:tc>
          <w:tcPr>
            <w:tcW w:type="dxa" w:w="2200"/>
            <w:tcMar>
              <w:top w:w="90" w:type="dxa"/>
              <w:start w:w="120" w:type="dxa"/>
              <w:bottom w:w="90" w:type="dxa"/>
              <w:end w:w="120" w:type="dxa"/>
            </w:tcMar>
            <w:vAlign w:val="center"/>
          </w:tcPr>
          <w:p>
            <w:r>
              <w:t>Einladungstokens in Logs und UserDefaults</w:t>
            </w:r>
          </w:p>
        </w:tc>
        <w:tc>
          <w:tcPr>
            <w:tcW w:type="dxa" w:w="3460"/>
            <w:tcMar>
              <w:top w:w="90" w:type="dxa"/>
              <w:start w:w="120" w:type="dxa"/>
              <w:bottom w:w="90" w:type="dxa"/>
              <w:end w:w="120" w:type="dxa"/>
            </w:tcMar>
            <w:vAlign w:val="center"/>
          </w:tcPr>
          <w:p>
            <w:r>
              <w:t>Der vollständige Deep Link und Token werden ausgegeben und persistent gespeichert. Tokens gewähren potentiell Dossierzugriff und sind wie Geheimnisse zu behandeln.</w:t>
            </w:r>
          </w:p>
        </w:tc>
        <w:tc>
          <w:tcPr>
            <w:tcW w:type="dxa" w:w="2700"/>
            <w:tcMar>
              <w:top w:w="90" w:type="dxa"/>
              <w:start w:w="120" w:type="dxa"/>
              <w:bottom w:w="90" w:type="dxa"/>
              <w:end w:w="120" w:type="dxa"/>
            </w:tcMar>
            <w:vAlign w:val="center"/>
          </w:tcPr>
          <w:p>
            <w:r>
              <w:t>AfterLifeApp.swift:82–86, 267–307</w:t>
            </w:r>
          </w:p>
        </w:tc>
      </w:tr>
    </w:tbl>
    <w:p>
      <w:pPr>
        <w:pStyle w:val="Heading1"/>
      </w:pPr>
      <w:r>
        <w:t>Wesentliche Befunde vor Freigabe</w:t>
      </w:r>
    </w:p>
    <w:tbl>
      <w:tblPr>
        <w:tblStyle w:val="TableGrid"/>
        <w:tblW w:type="dxa" w:w="9360"/>
        <w:jc w:val="left"/>
        <w:tblLayout w:type="fixed"/>
        <w:tblLook w:firstColumn="1" w:firstRow="1" w:lastColumn="0" w:lastRow="0" w:noHBand="0" w:noVBand="1" w:val="04A0"/>
        <w:tblInd w:w="120" w:type="dxa"/>
      </w:tblPr>
      <w:tblGrid>
        <w:gridCol w:w="1000"/>
        <w:gridCol w:w="2200"/>
        <w:gridCol w:w="3460"/>
        <w:gridCol w:w="2700"/>
      </w:tblGrid>
      <w:tr>
        <w:trPr>
          <w:tblHeader w:val="true"/>
        </w:trPr>
        <w:tc>
          <w:tcPr>
            <w:tcW w:type="dxa" w:w="1000"/>
            <w:shd w:fill="2E6F73"/>
            <w:tcMar>
              <w:top w:w="90" w:type="dxa"/>
              <w:start w:w="120" w:type="dxa"/>
              <w:bottom w:w="90" w:type="dxa"/>
              <w:end w:w="120" w:type="dxa"/>
            </w:tcMar>
            <w:vAlign w:val="center"/>
          </w:tcPr>
          <w:p>
            <w:r>
              <w:rPr>
                <w:b/>
                <w:color w:val="FFFFFF"/>
              </w:rPr>
              <w:t>ID</w:t>
            </w:r>
          </w:p>
        </w:tc>
        <w:tc>
          <w:tcPr>
            <w:tcW w:type="dxa" w:w="2200"/>
            <w:shd w:fill="2E6F73"/>
            <w:tcMar>
              <w:top w:w="90" w:type="dxa"/>
              <w:start w:w="120" w:type="dxa"/>
              <w:bottom w:w="90" w:type="dxa"/>
              <w:end w:w="120" w:type="dxa"/>
            </w:tcMar>
            <w:vAlign w:val="center"/>
          </w:tcPr>
          <w:p>
            <w:r>
              <w:rPr>
                <w:b/>
                <w:color w:val="FFFFFF"/>
              </w:rPr>
              <w:t>Befund</w:t>
            </w:r>
          </w:p>
        </w:tc>
        <w:tc>
          <w:tcPr>
            <w:tcW w:type="dxa" w:w="3460"/>
            <w:shd w:fill="2E6F73"/>
            <w:tcMar>
              <w:top w:w="90" w:type="dxa"/>
              <w:start w:w="120" w:type="dxa"/>
              <w:bottom w:w="90" w:type="dxa"/>
              <w:end w:w="120" w:type="dxa"/>
            </w:tcMar>
            <w:vAlign w:val="center"/>
          </w:tcPr>
          <w:p>
            <w:r>
              <w:rPr>
                <w:b/>
                <w:color w:val="FFFFFF"/>
              </w:rPr>
              <w:t>Bewertung</w:t>
            </w:r>
          </w:p>
        </w:tc>
        <w:tc>
          <w:tcPr>
            <w:tcW w:type="dxa" w:w="2700"/>
            <w:shd w:fill="2E6F73"/>
            <w:tcMar>
              <w:top w:w="90" w:type="dxa"/>
              <w:start w:w="120" w:type="dxa"/>
              <w:bottom w:w="90" w:type="dxa"/>
              <w:end w:w="120" w:type="dxa"/>
            </w:tcMar>
            <w:vAlign w:val="center"/>
          </w:tcPr>
          <w:p>
            <w:r>
              <w:rPr>
                <w:b/>
                <w:color w:val="FFFFFF"/>
              </w:rPr>
              <w:t>Code-Nachweis</w:t>
            </w:r>
          </w:p>
        </w:tc>
      </w:tr>
      <w:tr>
        <w:trPr>
          <w:cantSplit w:val="true"/>
        </w:trPr>
        <w:tc>
          <w:tcPr>
            <w:tcW w:type="dxa" w:w="1000"/>
            <w:shd w:fill="FFF0CE"/>
            <w:tcMar>
              <w:top w:w="90" w:type="dxa"/>
              <w:start w:w="120" w:type="dxa"/>
              <w:bottom w:w="90" w:type="dxa"/>
              <w:end w:w="120" w:type="dxa"/>
            </w:tcMar>
            <w:vAlign w:val="center"/>
          </w:tcPr>
          <w:p>
            <w:r>
              <w:t>P1-01</w:t>
            </w:r>
          </w:p>
        </w:tc>
        <w:tc>
          <w:tcPr>
            <w:tcW w:type="dxa" w:w="2200"/>
            <w:tcMar>
              <w:top w:w="90" w:type="dxa"/>
              <w:start w:w="120" w:type="dxa"/>
              <w:bottom w:w="90" w:type="dxa"/>
              <w:end w:w="120" w:type="dxa"/>
            </w:tcMar>
            <w:vAlign w:val="center"/>
          </w:tcPr>
          <w:p>
            <w:r>
              <w:t>Privacy Manifest fehlt</w:t>
            </w:r>
          </w:p>
        </w:tc>
        <w:tc>
          <w:tcPr>
            <w:tcW w:type="dxa" w:w="3460"/>
            <w:tcMar>
              <w:top w:w="90" w:type="dxa"/>
              <w:start w:w="120" w:type="dxa"/>
              <w:bottom w:w="90" w:type="dxa"/>
              <w:end w:w="120" w:type="dxa"/>
            </w:tcMar>
            <w:vAlign w:val="center"/>
          </w:tcPr>
          <w:p>
            <w:r>
              <w:t>Im Projekt wurde keine `PrivacyInfo.xcprivacy` gefunden. Required-Reason-APIs und App-Datenangaben sind noch systematisch zu bestimmen.</w:t>
            </w:r>
          </w:p>
        </w:tc>
        <w:tc>
          <w:tcPr>
            <w:tcW w:type="dxa" w:w="2700"/>
            <w:tcMar>
              <w:top w:w="90" w:type="dxa"/>
              <w:start w:w="120" w:type="dxa"/>
              <w:bottom w:w="90" w:type="dxa"/>
              <w:end w:w="120" w:type="dxa"/>
            </w:tcMar>
            <w:vAlign w:val="center"/>
          </w:tcPr>
          <w:p>
            <w:r>
              <w:t>Projektdateien / Dateiinventar</w:t>
            </w:r>
          </w:p>
        </w:tc>
      </w:tr>
      <w:tr>
        <w:trPr>
          <w:cantSplit w:val="true"/>
        </w:trPr>
        <w:tc>
          <w:tcPr>
            <w:tcW w:type="dxa" w:w="1000"/>
            <w:shd w:fill="FFF0CE"/>
            <w:tcMar>
              <w:top w:w="90" w:type="dxa"/>
              <w:start w:w="120" w:type="dxa"/>
              <w:bottom w:w="90" w:type="dxa"/>
              <w:end w:w="120" w:type="dxa"/>
            </w:tcMar>
            <w:vAlign w:val="center"/>
          </w:tcPr>
          <w:p>
            <w:r>
              <w:t>P1-02</w:t>
            </w:r>
          </w:p>
        </w:tc>
        <w:tc>
          <w:tcPr>
            <w:tcW w:type="dxa" w:w="2200"/>
            <w:tcMar>
              <w:top w:w="90" w:type="dxa"/>
              <w:start w:w="120" w:type="dxa"/>
              <w:bottom w:w="90" w:type="dxa"/>
              <w:end w:w="120" w:type="dxa"/>
            </w:tcMar>
            <w:vAlign w:val="center"/>
          </w:tcPr>
          <w:p>
            <w:r>
              <w:t>Temporäre sensible Dateien</w:t>
            </w:r>
          </w:p>
        </w:tc>
        <w:tc>
          <w:tcPr>
            <w:tcW w:type="dxa" w:w="3460"/>
            <w:tcMar>
              <w:top w:w="90" w:type="dxa"/>
              <w:start w:w="120" w:type="dxa"/>
              <w:bottom w:w="90" w:type="dxa"/>
              <w:end w:w="120" w:type="dxa"/>
            </w:tcMar>
            <w:vAlign w:val="center"/>
          </w:tcPr>
          <w:p>
            <w:r>
              <w:t>PDFs, Scans, Videos und Dokumente werden im temporären Verzeichnis geschrieben; konsistente Löschung und explizite Data-Protection-Optionen sind nicht nachgewiesen.</w:t>
            </w:r>
          </w:p>
        </w:tc>
        <w:tc>
          <w:tcPr>
            <w:tcW w:type="dxa" w:w="2700"/>
            <w:tcMar>
              <w:top w:w="90" w:type="dxa"/>
              <w:start w:w="120" w:type="dxa"/>
              <w:bottom w:w="90" w:type="dxa"/>
              <w:end w:w="120" w:type="dxa"/>
            </w:tcMar>
            <w:vAlign w:val="center"/>
          </w:tcPr>
          <w:p>
            <w:r>
              <w:t>Dokumente.swift:975–1007; Wuensche.swift:1862–1942; Profil.swift:1836–1839</w:t>
            </w:r>
          </w:p>
        </w:tc>
      </w:tr>
      <w:tr>
        <w:trPr>
          <w:cantSplit w:val="true"/>
        </w:trPr>
        <w:tc>
          <w:tcPr>
            <w:tcW w:type="dxa" w:w="1000"/>
            <w:shd w:fill="FFF0CE"/>
            <w:tcMar>
              <w:top w:w="90" w:type="dxa"/>
              <w:start w:w="120" w:type="dxa"/>
              <w:bottom w:w="90" w:type="dxa"/>
              <w:end w:w="120" w:type="dxa"/>
            </w:tcMar>
            <w:vAlign w:val="center"/>
          </w:tcPr>
          <w:p>
            <w:r>
              <w:t>P1-03</w:t>
            </w:r>
          </w:p>
        </w:tc>
        <w:tc>
          <w:tcPr>
            <w:tcW w:type="dxa" w:w="2200"/>
            <w:tcMar>
              <w:top w:w="90" w:type="dxa"/>
              <w:start w:w="120" w:type="dxa"/>
              <w:bottom w:w="90" w:type="dxa"/>
              <w:end w:w="120" w:type="dxa"/>
            </w:tcMar>
            <w:vAlign w:val="center"/>
          </w:tcPr>
          <w:p>
            <w:r>
              <w:t>Rechtliche Links nicht eindeutig</w:t>
            </w:r>
          </w:p>
        </w:tc>
        <w:tc>
          <w:tcPr>
            <w:tcW w:type="dxa" w:w="3460"/>
            <w:tcMar>
              <w:top w:w="90" w:type="dxa"/>
              <w:start w:w="120" w:type="dxa"/>
              <w:bottom w:w="90" w:type="dxa"/>
              <w:end w:w="120" w:type="dxa"/>
            </w:tcMar>
            <w:vAlign w:val="center"/>
          </w:tcPr>
          <w:p>
            <w:r>
              <w:t>In der Registrierung ist nur ‚Nutzungsbedingungen‘ klickbar; ‚Datenschutz‘ ist Text. Im Profil öffnen rechtliche Punkte nur die Domain-Startseite.</w:t>
            </w:r>
          </w:p>
        </w:tc>
        <w:tc>
          <w:tcPr>
            <w:tcW w:type="dxa" w:w="2700"/>
            <w:tcMar>
              <w:top w:w="90" w:type="dxa"/>
              <w:start w:w="120" w:type="dxa"/>
              <w:bottom w:w="90" w:type="dxa"/>
              <w:end w:w="120" w:type="dxa"/>
            </w:tcMar>
            <w:vAlign w:val="center"/>
          </w:tcPr>
          <w:p>
            <w:r>
              <w:t>Registrierung.swift:504–520; Profil.swift:579–639</w:t>
            </w:r>
          </w:p>
        </w:tc>
      </w:tr>
      <w:tr>
        <w:trPr>
          <w:cantSplit w:val="true"/>
        </w:trPr>
        <w:tc>
          <w:tcPr>
            <w:tcW w:type="dxa" w:w="1000"/>
            <w:shd w:fill="FFF0CE"/>
            <w:tcMar>
              <w:top w:w="90" w:type="dxa"/>
              <w:start w:w="120" w:type="dxa"/>
              <w:bottom w:w="90" w:type="dxa"/>
              <w:end w:w="120" w:type="dxa"/>
            </w:tcMar>
            <w:vAlign w:val="center"/>
          </w:tcPr>
          <w:p>
            <w:r>
              <w:t>P1-04</w:t>
            </w:r>
          </w:p>
        </w:tc>
        <w:tc>
          <w:tcPr>
            <w:tcW w:type="dxa" w:w="2200"/>
            <w:tcMar>
              <w:top w:w="90" w:type="dxa"/>
              <w:start w:w="120" w:type="dxa"/>
              <w:bottom w:w="90" w:type="dxa"/>
              <w:end w:w="120" w:type="dxa"/>
            </w:tcMar>
            <w:vAlign w:val="center"/>
          </w:tcPr>
          <w:p>
            <w:r>
              <w:t>Berechtigungstexte inkonsistent</w:t>
            </w:r>
          </w:p>
        </w:tc>
        <w:tc>
          <w:tcPr>
            <w:tcW w:type="dxa" w:w="3460"/>
            <w:tcMar>
              <w:top w:w="90" w:type="dxa"/>
              <w:start w:w="120" w:type="dxa"/>
              <w:bottom w:w="90" w:type="dxa"/>
              <w:end w:w="120" w:type="dxa"/>
            </w:tcMar>
            <w:vAlign w:val="center"/>
          </w:tcPr>
          <w:p>
            <w:r>
              <w:t>App-Name und Zwecke sind nicht einheitlich. Foto-Schreibzugriff nennt Videos, während auch Fotoalben gespeichert werden; Lesezugriff spricht nur vom Album.</w:t>
            </w:r>
          </w:p>
        </w:tc>
        <w:tc>
          <w:tcPr>
            <w:tcW w:type="dxa" w:w="2700"/>
            <w:tcMar>
              <w:top w:w="90" w:type="dxa"/>
              <w:start w:w="120" w:type="dxa"/>
              <w:bottom w:w="90" w:type="dxa"/>
              <w:end w:w="120" w:type="dxa"/>
            </w:tcMar>
            <w:vAlign w:val="center"/>
          </w:tcPr>
          <w:p>
            <w:r>
              <w:t>project.pbxproj:480–485, 522–527</w:t>
            </w:r>
          </w:p>
        </w:tc>
      </w:tr>
      <w:tr>
        <w:trPr>
          <w:cantSplit w:val="true"/>
        </w:trPr>
        <w:tc>
          <w:tcPr>
            <w:tcW w:type="dxa" w:w="1000"/>
            <w:shd w:fill="FFF0CE"/>
            <w:tcMar>
              <w:top w:w="90" w:type="dxa"/>
              <w:start w:w="120" w:type="dxa"/>
              <w:bottom w:w="90" w:type="dxa"/>
              <w:end w:w="120" w:type="dxa"/>
            </w:tcMar>
            <w:vAlign w:val="center"/>
          </w:tcPr>
          <w:p>
            <w:r>
              <w:t>P1-05</w:t>
            </w:r>
          </w:p>
        </w:tc>
        <w:tc>
          <w:tcPr>
            <w:tcW w:type="dxa" w:w="2200"/>
            <w:tcMar>
              <w:top w:w="90" w:type="dxa"/>
              <w:start w:w="120" w:type="dxa"/>
              <w:bottom w:w="90" w:type="dxa"/>
              <w:end w:w="120" w:type="dxa"/>
            </w:tcMar>
            <w:vAlign w:val="center"/>
          </w:tcPr>
          <w:p>
            <w:r>
              <w:t>Lokales Passwortmodell statt sicherer Authentifizierung</w:t>
            </w:r>
          </w:p>
        </w:tc>
        <w:tc>
          <w:tcPr>
            <w:tcW w:type="dxa" w:w="3460"/>
            <w:tcMar>
              <w:top w:w="90" w:type="dxa"/>
              <w:start w:w="120" w:type="dxa"/>
              <w:bottom w:w="90" w:type="dxa"/>
              <w:end w:w="120" w:type="dxa"/>
            </w:tcMar>
            <w:vAlign w:val="center"/>
          </w:tcPr>
          <w:p>
            <w:r>
              <w:t>Mindestens sechs Zeichen, Vergleich mit lokalem Klartext und keine nachgewiesene serverseitige Verifikation/Hashing. Für ein echtes Konto ungeeignet.</w:t>
            </w:r>
          </w:p>
        </w:tc>
        <w:tc>
          <w:tcPr>
            <w:tcW w:type="dxa" w:w="2700"/>
            <w:tcMar>
              <w:top w:w="90" w:type="dxa"/>
              <w:start w:w="120" w:type="dxa"/>
              <w:bottom w:w="90" w:type="dxa"/>
              <w:end w:w="120" w:type="dxa"/>
            </w:tcMar>
            <w:vAlign w:val="center"/>
          </w:tcPr>
          <w:p>
            <w:r>
              <w:t>Profil.swift:1117–1173; Relogin.swift:338–354</w:t>
            </w:r>
          </w:p>
        </w:tc>
      </w:tr>
      <w:tr>
        <w:trPr>
          <w:cantSplit w:val="true"/>
        </w:trPr>
        <w:tc>
          <w:tcPr>
            <w:tcW w:type="dxa" w:w="1000"/>
            <w:shd w:fill="FFF0CE"/>
            <w:tcMar>
              <w:top w:w="90" w:type="dxa"/>
              <w:start w:w="120" w:type="dxa"/>
              <w:bottom w:w="90" w:type="dxa"/>
              <w:end w:w="120" w:type="dxa"/>
            </w:tcMar>
            <w:vAlign w:val="center"/>
          </w:tcPr>
          <w:p>
            <w:r>
              <w:t>P1-06</w:t>
            </w:r>
          </w:p>
        </w:tc>
        <w:tc>
          <w:tcPr>
            <w:tcW w:type="dxa" w:w="2200"/>
            <w:tcMar>
              <w:top w:w="90" w:type="dxa"/>
              <w:start w:w="120" w:type="dxa"/>
              <w:bottom w:w="90" w:type="dxa"/>
              <w:end w:w="120" w:type="dxa"/>
            </w:tcMar>
            <w:vAlign w:val="center"/>
          </w:tcPr>
          <w:p>
            <w:r>
              <w:t>Externe Datenflüsse nicht belegt</w:t>
            </w:r>
          </w:p>
        </w:tc>
        <w:tc>
          <w:tcPr>
            <w:tcW w:type="dxa" w:w="3460"/>
            <w:tcMar>
              <w:top w:w="90" w:type="dxa"/>
              <w:start w:w="120" w:type="dxa"/>
              <w:bottom w:w="90" w:type="dxa"/>
              <w:end w:w="120" w:type="dxa"/>
            </w:tcMar>
            <w:vAlign w:val="center"/>
          </w:tcPr>
          <w:p>
            <w:r>
              <w:t>Adressdaten gehen an Vercel/Post und OpenPLZ; IBAN an OpenIBAN. Datenschutzbedingungen, Speicherfristen, Serverstandorte und Verträge liegen nicht im Projekt vor.</w:t>
            </w:r>
          </w:p>
        </w:tc>
        <w:tc>
          <w:tcPr>
            <w:tcW w:type="dxa" w:w="2700"/>
            <w:tcMar>
              <w:top w:w="90" w:type="dxa"/>
              <w:start w:w="120" w:type="dxa"/>
              <w:bottom w:w="90" w:type="dxa"/>
              <w:end w:w="120" w:type="dxa"/>
            </w:tcMar>
            <w:vAlign w:val="center"/>
          </w:tcPr>
          <w:p>
            <w:r>
              <w:t>Profil.swift:1188–1316; Finanzen.swift:2083–2096</w:t>
            </w:r>
          </w:p>
        </w:tc>
      </w:tr>
      <w:tr>
        <w:trPr>
          <w:cantSplit w:val="true"/>
        </w:trPr>
        <w:tc>
          <w:tcPr>
            <w:tcW w:type="dxa" w:w="1000"/>
            <w:shd w:fill="FFF0CE"/>
            <w:tcMar>
              <w:top w:w="90" w:type="dxa"/>
              <w:start w:w="120" w:type="dxa"/>
              <w:bottom w:w="90" w:type="dxa"/>
              <w:end w:w="120" w:type="dxa"/>
            </w:tcMar>
            <w:vAlign w:val="center"/>
          </w:tcPr>
          <w:p>
            <w:r>
              <w:t>P1-07</w:t>
            </w:r>
          </w:p>
        </w:tc>
        <w:tc>
          <w:tcPr>
            <w:tcW w:type="dxa" w:w="2200"/>
            <w:tcMar>
              <w:top w:w="90" w:type="dxa"/>
              <w:start w:w="120" w:type="dxa"/>
              <w:bottom w:w="90" w:type="dxa"/>
              <w:end w:w="120" w:type="dxa"/>
            </w:tcMar>
            <w:vAlign w:val="center"/>
          </w:tcPr>
          <w:p>
            <w:r>
              <w:t>Löschung deckt temporäre Exporte nicht nachweislich ab</w:t>
            </w:r>
          </w:p>
        </w:tc>
        <w:tc>
          <w:tcPr>
            <w:tcW w:type="dxa" w:w="3460"/>
            <w:tcMar>
              <w:top w:w="90" w:type="dxa"/>
              <w:start w:w="120" w:type="dxa"/>
              <w:bottom w:w="90" w:type="dxa"/>
              <w:end w:w="120" w:type="dxa"/>
            </w:tcMar>
            <w:vAlign w:val="center"/>
          </w:tcPr>
          <w:p>
            <w:r>
              <w:t>SwiftData, Keychain, ausgewählte UserDefaults und Erinnerungen werden gelöscht; zuvor erzeugte temporäre Dateien werden dabei nicht gezielt bereinigt.</w:t>
            </w:r>
          </w:p>
        </w:tc>
        <w:tc>
          <w:tcPr>
            <w:tcW w:type="dxa" w:w="2700"/>
            <w:tcMar>
              <w:top w:w="90" w:type="dxa"/>
              <w:start w:w="120" w:type="dxa"/>
              <w:bottom w:w="90" w:type="dxa"/>
              <w:end w:w="120" w:type="dxa"/>
            </w:tcMar>
            <w:vAlign w:val="center"/>
          </w:tcPr>
          <w:p>
            <w:r>
              <w:t>Profil.swift:1319–1416</w:t>
            </w:r>
          </w:p>
        </w:tc>
      </w:tr>
      <w:tr>
        <w:trPr>
          <w:cantSplit w:val="true"/>
        </w:trPr>
        <w:tc>
          <w:tcPr>
            <w:tcW w:type="dxa" w:w="1000"/>
            <w:shd w:fill="FFF0CE"/>
            <w:tcMar>
              <w:top w:w="90" w:type="dxa"/>
              <w:start w:w="120" w:type="dxa"/>
              <w:bottom w:w="90" w:type="dxa"/>
              <w:end w:w="120" w:type="dxa"/>
            </w:tcMar>
            <w:vAlign w:val="center"/>
          </w:tcPr>
          <w:p>
            <w:r>
              <w:t>P1-08</w:t>
            </w:r>
          </w:p>
        </w:tc>
        <w:tc>
          <w:tcPr>
            <w:tcW w:type="dxa" w:w="2200"/>
            <w:tcMar>
              <w:top w:w="90" w:type="dxa"/>
              <w:start w:w="120" w:type="dxa"/>
              <w:bottom w:w="90" w:type="dxa"/>
              <w:end w:w="120" w:type="dxa"/>
            </w:tcMar>
            <w:vAlign w:val="center"/>
          </w:tcPr>
          <w:p>
            <w:r>
              <w:t>Schutz der SwiftData-Datenbank nicht explizit nachgewiesen</w:t>
            </w:r>
          </w:p>
        </w:tc>
        <w:tc>
          <w:tcPr>
            <w:tcW w:type="dxa" w:w="3460"/>
            <w:tcMar>
              <w:top w:w="90" w:type="dxa"/>
              <w:start w:w="120" w:type="dxa"/>
              <w:bottom w:w="90" w:type="dxa"/>
              <w:end w:w="120" w:type="dxa"/>
            </w:tcMar>
            <w:vAlign w:val="center"/>
          </w:tcPr>
          <w:p>
            <w:r>
              <w:t>Die persistente ModelConfiguration verwendet die Standardablage. Eine bewusst geprüfte Schutzklasse, Backup-Strategie und Verschlüsselungsdokumentation fehlen.</w:t>
            </w:r>
          </w:p>
        </w:tc>
        <w:tc>
          <w:tcPr>
            <w:tcW w:type="dxa" w:w="2700"/>
            <w:tcMar>
              <w:top w:w="90" w:type="dxa"/>
              <w:start w:w="120" w:type="dxa"/>
              <w:bottom w:w="90" w:type="dxa"/>
              <w:end w:w="120" w:type="dxa"/>
            </w:tcMar>
            <w:vAlign w:val="center"/>
          </w:tcPr>
          <w:p>
            <w:r>
              <w:t>AfterLifeApp.swift:14–49</w:t>
            </w:r>
          </w:p>
        </w:tc>
      </w:tr>
    </w:tbl>
    <w:p>
      <w:pPr>
        <w:pStyle w:val="Heading1"/>
      </w:pPr>
      <w:r>
        <w:t>Härtungs- und Nachweispunkte</w:t>
      </w:r>
    </w:p>
    <w:tbl>
      <w:tblPr>
        <w:tblStyle w:val="TableGrid"/>
        <w:tblW w:type="dxa" w:w="9360"/>
        <w:jc w:val="left"/>
        <w:tblLayout w:type="fixed"/>
        <w:tblLook w:firstColumn="1" w:firstRow="1" w:lastColumn="0" w:lastRow="0" w:noHBand="0" w:noVBand="1" w:val="04A0"/>
        <w:tblInd w:w="120" w:type="dxa"/>
      </w:tblPr>
      <w:tblGrid>
        <w:gridCol w:w="1000"/>
        <w:gridCol w:w="2200"/>
        <w:gridCol w:w="3460"/>
        <w:gridCol w:w="2700"/>
      </w:tblGrid>
      <w:tr>
        <w:trPr>
          <w:tblHeader w:val="true"/>
        </w:trPr>
        <w:tc>
          <w:tcPr>
            <w:tcW w:type="dxa" w:w="1000"/>
            <w:shd w:fill="2E6F73"/>
            <w:tcMar>
              <w:top w:w="90" w:type="dxa"/>
              <w:start w:w="120" w:type="dxa"/>
              <w:bottom w:w="90" w:type="dxa"/>
              <w:end w:w="120" w:type="dxa"/>
            </w:tcMar>
            <w:vAlign w:val="center"/>
          </w:tcPr>
          <w:p>
            <w:r>
              <w:rPr>
                <w:b/>
                <w:color w:val="FFFFFF"/>
              </w:rPr>
              <w:t>ID</w:t>
            </w:r>
          </w:p>
        </w:tc>
        <w:tc>
          <w:tcPr>
            <w:tcW w:type="dxa" w:w="2200"/>
            <w:shd w:fill="2E6F73"/>
            <w:tcMar>
              <w:top w:w="90" w:type="dxa"/>
              <w:start w:w="120" w:type="dxa"/>
              <w:bottom w:w="90" w:type="dxa"/>
              <w:end w:w="120" w:type="dxa"/>
            </w:tcMar>
            <w:vAlign w:val="center"/>
          </w:tcPr>
          <w:p>
            <w:r>
              <w:rPr>
                <w:b/>
                <w:color w:val="FFFFFF"/>
              </w:rPr>
              <w:t>Punkt</w:t>
            </w:r>
          </w:p>
        </w:tc>
        <w:tc>
          <w:tcPr>
            <w:tcW w:type="dxa" w:w="3460"/>
            <w:shd w:fill="2E6F73"/>
            <w:tcMar>
              <w:top w:w="90" w:type="dxa"/>
              <w:start w:w="120" w:type="dxa"/>
              <w:bottom w:w="90" w:type="dxa"/>
              <w:end w:w="120" w:type="dxa"/>
            </w:tcMar>
            <w:vAlign w:val="center"/>
          </w:tcPr>
          <w:p>
            <w:r>
              <w:rPr>
                <w:b/>
                <w:color w:val="FFFFFF"/>
              </w:rPr>
              <w:t>Bewertung</w:t>
            </w:r>
          </w:p>
        </w:tc>
        <w:tc>
          <w:tcPr>
            <w:tcW w:type="dxa" w:w="2700"/>
            <w:shd w:fill="2E6F73"/>
            <w:tcMar>
              <w:top w:w="90" w:type="dxa"/>
              <w:start w:w="120" w:type="dxa"/>
              <w:bottom w:w="90" w:type="dxa"/>
              <w:end w:w="120" w:type="dxa"/>
            </w:tcMar>
            <w:vAlign w:val="center"/>
          </w:tcPr>
          <w:p>
            <w:r>
              <w:rPr>
                <w:b/>
                <w:color w:val="FFFFFF"/>
              </w:rPr>
              <w:t>Nachweis</w:t>
            </w:r>
          </w:p>
        </w:tc>
      </w:tr>
      <w:tr>
        <w:trPr>
          <w:cantSplit w:val="true"/>
        </w:trPr>
        <w:tc>
          <w:tcPr>
            <w:tcW w:type="dxa" w:w="1000"/>
            <w:shd w:fill="E7F1F2"/>
            <w:tcMar>
              <w:top w:w="90" w:type="dxa"/>
              <w:start w:w="120" w:type="dxa"/>
              <w:bottom w:w="90" w:type="dxa"/>
              <w:end w:w="120" w:type="dxa"/>
            </w:tcMar>
            <w:vAlign w:val="center"/>
          </w:tcPr>
          <w:p>
            <w:r>
              <w:t>P2-01</w:t>
            </w:r>
          </w:p>
        </w:tc>
        <w:tc>
          <w:tcPr>
            <w:tcW w:type="dxa" w:w="2200"/>
            <w:tcMar>
              <w:top w:w="90" w:type="dxa"/>
              <w:start w:w="120" w:type="dxa"/>
              <w:bottom w:w="90" w:type="dxa"/>
              <w:end w:w="120" w:type="dxa"/>
            </w:tcMar>
            <w:vAlign w:val="center"/>
          </w:tcPr>
          <w:p>
            <w:r>
              <w:t>Produktionslogs</w:t>
            </w:r>
          </w:p>
        </w:tc>
        <w:tc>
          <w:tcPr>
            <w:tcW w:type="dxa" w:w="3460"/>
            <w:tcMar>
              <w:top w:w="90" w:type="dxa"/>
              <w:start w:w="120" w:type="dxa"/>
              <w:bottom w:w="90" w:type="dxa"/>
              <w:end w:w="120" w:type="dxa"/>
            </w:tcMar>
            <w:vAlign w:val="center"/>
          </w:tcPr>
          <w:p>
            <w:r>
              <w:t>Dateipfade, Termine und interne IDs werden per `print` ausgegeben. Release-Logging sollte datensparsam und zentral gesteuert werden.</w:t>
            </w:r>
          </w:p>
        </w:tc>
        <w:tc>
          <w:tcPr>
            <w:tcW w:type="dxa" w:w="2700"/>
            <w:tcMar>
              <w:top w:w="90" w:type="dxa"/>
              <w:start w:w="120" w:type="dxa"/>
              <w:bottom w:w="90" w:type="dxa"/>
              <w:end w:w="120" w:type="dxa"/>
            </w:tcMar>
            <w:vAlign w:val="center"/>
          </w:tcPr>
          <w:p>
            <w:r>
              <w:t>Dokumente.swift:1096–1120; NotificationService.swift:21–71; Profil.swift:994</w:t>
            </w:r>
          </w:p>
        </w:tc>
      </w:tr>
      <w:tr>
        <w:trPr>
          <w:cantSplit w:val="true"/>
        </w:trPr>
        <w:tc>
          <w:tcPr>
            <w:tcW w:type="dxa" w:w="1000"/>
            <w:shd w:fill="E7F1F2"/>
            <w:tcMar>
              <w:top w:w="90" w:type="dxa"/>
              <w:start w:w="120" w:type="dxa"/>
              <w:bottom w:w="90" w:type="dxa"/>
              <w:end w:w="120" w:type="dxa"/>
            </w:tcMar>
            <w:vAlign w:val="center"/>
          </w:tcPr>
          <w:p>
            <w:r>
              <w:t>P2-02</w:t>
            </w:r>
          </w:p>
        </w:tc>
        <w:tc>
          <w:tcPr>
            <w:tcW w:type="dxa" w:w="2200"/>
            <w:tcMar>
              <w:top w:w="90" w:type="dxa"/>
              <w:start w:w="120" w:type="dxa"/>
              <w:bottom w:w="90" w:type="dxa"/>
              <w:end w:w="120" w:type="dxa"/>
            </w:tcMar>
            <w:vAlign w:val="center"/>
          </w:tcPr>
          <w:p>
            <w:r>
              <w:t>Universal Links</w:t>
            </w:r>
          </w:p>
        </w:tc>
        <w:tc>
          <w:tcPr>
            <w:tcW w:type="dxa" w:w="3460"/>
            <w:tcMar>
              <w:top w:w="90" w:type="dxa"/>
              <w:start w:w="120" w:type="dxa"/>
              <w:bottom w:w="90" w:type="dxa"/>
              <w:end w:w="120" w:type="dxa"/>
            </w:tcMar>
            <w:vAlign w:val="center"/>
          </w:tcPr>
          <w:p>
            <w:r>
              <w:t>Associated Domain ist konfiguriert; korrekte AASA-Datei, Team-ID/Bundle-ID und Tokenbehandlung auf tschluessli.ch müssen live validiert werden.</w:t>
            </w:r>
          </w:p>
        </w:tc>
        <w:tc>
          <w:tcPr>
            <w:tcW w:type="dxa" w:w="2700"/>
            <w:tcMar>
              <w:top w:w="90" w:type="dxa"/>
              <w:start w:w="120" w:type="dxa"/>
              <w:bottom w:w="90" w:type="dxa"/>
              <w:end w:w="120" w:type="dxa"/>
            </w:tcMar>
            <w:vAlign w:val="center"/>
          </w:tcPr>
          <w:p>
            <w:r>
              <w:t>AfterLife.entitlements; AfterLifeApp.swift:310–356</w:t>
            </w:r>
          </w:p>
        </w:tc>
      </w:tr>
      <w:tr>
        <w:trPr>
          <w:cantSplit w:val="true"/>
        </w:trPr>
        <w:tc>
          <w:tcPr>
            <w:tcW w:type="dxa" w:w="1000"/>
            <w:shd w:fill="E7F1F2"/>
            <w:tcMar>
              <w:top w:w="90" w:type="dxa"/>
              <w:start w:w="120" w:type="dxa"/>
              <w:bottom w:w="90" w:type="dxa"/>
              <w:end w:w="120" w:type="dxa"/>
            </w:tcMar>
            <w:vAlign w:val="center"/>
          </w:tcPr>
          <w:p>
            <w:r>
              <w:t>P2-03</w:t>
            </w:r>
          </w:p>
        </w:tc>
        <w:tc>
          <w:tcPr>
            <w:tcW w:type="dxa" w:w="2200"/>
            <w:tcMar>
              <w:top w:w="90" w:type="dxa"/>
              <w:start w:w="120" w:type="dxa"/>
              <w:bottom w:w="90" w:type="dxa"/>
              <w:end w:w="120" w:type="dxa"/>
            </w:tcMar>
            <w:vAlign w:val="center"/>
          </w:tcPr>
          <w:p>
            <w:r>
              <w:t>App-Umschalter und Bildschirmaufnahme</w:t>
            </w:r>
          </w:p>
        </w:tc>
        <w:tc>
          <w:tcPr>
            <w:tcW w:type="dxa" w:w="3460"/>
            <w:tcMar>
              <w:top w:w="90" w:type="dxa"/>
              <w:start w:w="120" w:type="dxa"/>
              <w:bottom w:w="90" w:type="dxa"/>
              <w:end w:w="120" w:type="dxa"/>
            </w:tcMar>
            <w:vAlign w:val="center"/>
          </w:tcPr>
          <w:p>
            <w:r>
              <w:t>Kein expliziter Schutz sensibler Ansichten gegen App-Snapshots oder eine dokumentierte Entscheidung dazu gefunden.</w:t>
            </w:r>
          </w:p>
        </w:tc>
        <w:tc>
          <w:tcPr>
            <w:tcW w:type="dxa" w:w="2700"/>
            <w:tcMar>
              <w:top w:w="90" w:type="dxa"/>
              <w:start w:w="120" w:type="dxa"/>
              <w:bottom w:w="90" w:type="dxa"/>
              <w:end w:w="120" w:type="dxa"/>
            </w:tcMar>
            <w:vAlign w:val="center"/>
          </w:tcPr>
          <w:p>
            <w:r>
              <w:t>Kein Treffer im statischen Audit</w:t>
            </w:r>
          </w:p>
        </w:tc>
      </w:tr>
      <w:tr>
        <w:trPr>
          <w:cantSplit w:val="true"/>
        </w:trPr>
        <w:tc>
          <w:tcPr>
            <w:tcW w:type="dxa" w:w="1000"/>
            <w:shd w:fill="E7F1F2"/>
            <w:tcMar>
              <w:top w:w="90" w:type="dxa"/>
              <w:start w:w="120" w:type="dxa"/>
              <w:bottom w:w="90" w:type="dxa"/>
              <w:end w:w="120" w:type="dxa"/>
            </w:tcMar>
            <w:vAlign w:val="center"/>
          </w:tcPr>
          <w:p>
            <w:r>
              <w:t>P2-04</w:t>
            </w:r>
          </w:p>
        </w:tc>
        <w:tc>
          <w:tcPr>
            <w:tcW w:type="dxa" w:w="2200"/>
            <w:tcMar>
              <w:top w:w="90" w:type="dxa"/>
              <w:start w:w="120" w:type="dxa"/>
              <w:bottom w:w="90" w:type="dxa"/>
              <w:end w:w="120" w:type="dxa"/>
            </w:tcMar>
            <w:vAlign w:val="center"/>
          </w:tcPr>
          <w:p>
            <w:r>
              <w:t>Automatisierte Sicherheitstests</w:t>
            </w:r>
          </w:p>
        </w:tc>
        <w:tc>
          <w:tcPr>
            <w:tcW w:type="dxa" w:w="3460"/>
            <w:tcMar>
              <w:top w:w="90" w:type="dxa"/>
              <w:start w:w="120" w:type="dxa"/>
              <w:bottom w:w="90" w:type="dxa"/>
              <w:end w:w="120" w:type="dxa"/>
            </w:tcMar>
            <w:vAlign w:val="center"/>
          </w:tcPr>
          <w:p>
            <w:r>
              <w:t>Vorhandene Tests enthalten keine erkennbare Abnahme für vollständige Datenlöschung, Exportbereinigung oder Secret-Leakage.</w:t>
            </w:r>
          </w:p>
        </w:tc>
        <w:tc>
          <w:tcPr>
            <w:tcW w:type="dxa" w:w="2700"/>
            <w:tcMar>
              <w:top w:w="90" w:type="dxa"/>
              <w:start w:w="120" w:type="dxa"/>
              <w:bottom w:w="90" w:type="dxa"/>
              <w:end w:w="120" w:type="dxa"/>
            </w:tcMar>
            <w:vAlign w:val="center"/>
          </w:tcPr>
          <w:p>
            <w:r>
              <w:t>AfterLifeTests / AfterLifeUITests</w:t>
            </w:r>
          </w:p>
        </w:tc>
      </w:tr>
    </w:tbl>
    <w:p>
      <w:pPr>
        <w:pStyle w:val="Heading1"/>
      </w:pPr>
      <w:r>
        <w:t>Bereits geeignete Grundlagen</w:t>
      </w:r>
    </w:p>
    <w:tbl>
      <w:tblPr>
        <w:tblStyle w:val="TableGrid"/>
        <w:tblW w:type="dxa" w:w="9360"/>
        <w:jc w:val="left"/>
        <w:tblLayout w:type="fixed"/>
        <w:tblLook w:firstColumn="1" w:firstRow="1" w:lastColumn="0" w:lastRow="0" w:noHBand="0" w:noVBand="1" w:val="04A0"/>
        <w:tblInd w:w="120" w:type="dxa"/>
      </w:tblPr>
      <w:tblGrid>
        <w:gridCol w:w="1000"/>
        <w:gridCol w:w="2200"/>
        <w:gridCol w:w="3460"/>
        <w:gridCol w:w="2700"/>
      </w:tblGrid>
      <w:tr>
        <w:trPr>
          <w:tblHeader w:val="true"/>
        </w:trPr>
        <w:tc>
          <w:tcPr>
            <w:tcW w:type="dxa" w:w="1000"/>
            <w:shd w:fill="2E6F73"/>
            <w:tcMar>
              <w:top w:w="90" w:type="dxa"/>
              <w:start w:w="120" w:type="dxa"/>
              <w:bottom w:w="90" w:type="dxa"/>
              <w:end w:w="120" w:type="dxa"/>
            </w:tcMar>
            <w:vAlign w:val="center"/>
          </w:tcPr>
          <w:p>
            <w:r>
              <w:rPr>
                <w:b/>
                <w:color w:val="FFFFFF"/>
              </w:rPr>
              <w:t>ID</w:t>
            </w:r>
          </w:p>
        </w:tc>
        <w:tc>
          <w:tcPr>
            <w:tcW w:type="dxa" w:w="2200"/>
            <w:shd w:fill="2E6F73"/>
            <w:tcMar>
              <w:top w:w="90" w:type="dxa"/>
              <w:start w:w="120" w:type="dxa"/>
              <w:bottom w:w="90" w:type="dxa"/>
              <w:end w:w="120" w:type="dxa"/>
            </w:tcMar>
            <w:vAlign w:val="center"/>
          </w:tcPr>
          <w:p>
            <w:r>
              <w:rPr>
                <w:b/>
                <w:color w:val="FFFFFF"/>
              </w:rPr>
              <w:t>Grundlage</w:t>
            </w:r>
          </w:p>
        </w:tc>
        <w:tc>
          <w:tcPr>
            <w:tcW w:type="dxa" w:w="3460"/>
            <w:shd w:fill="2E6F73"/>
            <w:tcMar>
              <w:top w:w="90" w:type="dxa"/>
              <w:start w:w="120" w:type="dxa"/>
              <w:bottom w:w="90" w:type="dxa"/>
              <w:end w:w="120" w:type="dxa"/>
            </w:tcMar>
            <w:vAlign w:val="center"/>
          </w:tcPr>
          <w:p>
            <w:r>
              <w:rPr>
                <w:b/>
                <w:color w:val="FFFFFF"/>
              </w:rPr>
              <w:t>Bewertung</w:t>
            </w:r>
          </w:p>
        </w:tc>
        <w:tc>
          <w:tcPr>
            <w:tcW w:type="dxa" w:w="2700"/>
            <w:shd w:fill="2E6F73"/>
            <w:tcMar>
              <w:top w:w="90" w:type="dxa"/>
              <w:start w:w="120" w:type="dxa"/>
              <w:bottom w:w="90" w:type="dxa"/>
              <w:end w:w="120" w:type="dxa"/>
            </w:tcMar>
            <w:vAlign w:val="center"/>
          </w:tcPr>
          <w:p>
            <w:r>
              <w:rPr>
                <w:b/>
                <w:color w:val="FFFFFF"/>
              </w:rPr>
              <w:t>Code-Nachweis</w:t>
            </w:r>
          </w:p>
        </w:tc>
      </w:tr>
      <w:tr>
        <w:trPr>
          <w:cantSplit w:val="true"/>
        </w:trPr>
        <w:tc>
          <w:tcPr>
            <w:tcW w:type="dxa" w:w="1000"/>
            <w:tcMar>
              <w:top w:w="90" w:type="dxa"/>
              <w:start w:w="120" w:type="dxa"/>
              <w:bottom w:w="90" w:type="dxa"/>
              <w:end w:w="120" w:type="dxa"/>
            </w:tcMar>
            <w:vAlign w:val="center"/>
          </w:tcPr>
          <w:p>
            <w:r>
              <w:t>POS-01</w:t>
            </w:r>
          </w:p>
        </w:tc>
        <w:tc>
          <w:tcPr>
            <w:tcW w:type="dxa" w:w="2200"/>
            <w:tcMar>
              <w:top w:w="90" w:type="dxa"/>
              <w:start w:w="120" w:type="dxa"/>
              <w:bottom w:w="90" w:type="dxa"/>
              <w:end w:w="120" w:type="dxa"/>
            </w:tcMar>
            <w:vAlign w:val="center"/>
          </w:tcPr>
          <w:p>
            <w:r>
              <w:t>Keychain-Zugriffsklasse</w:t>
            </w:r>
          </w:p>
        </w:tc>
        <w:tc>
          <w:tcPr>
            <w:tcW w:type="dxa" w:w="3460"/>
            <w:tcMar>
              <w:top w:w="90" w:type="dxa"/>
              <w:start w:w="120" w:type="dxa"/>
              <w:bottom w:w="90" w:type="dxa"/>
              <w:end w:w="120" w:type="dxa"/>
            </w:tcMar>
            <w:vAlign w:val="center"/>
          </w:tcPr>
          <w:p>
            <w:r>
              <w:t>`kSecAttrAccessibleWhenUnlockedThisDeviceOnly` verhindert Migration auf andere Geräte und schützt bei gesperrtem Gerät.</w:t>
            </w:r>
          </w:p>
        </w:tc>
        <w:tc>
          <w:tcPr>
            <w:tcW w:type="dxa" w:w="2700"/>
            <w:tcMar>
              <w:top w:w="90" w:type="dxa"/>
              <w:start w:w="120" w:type="dxa"/>
              <w:bottom w:w="90" w:type="dxa"/>
              <w:end w:w="120" w:type="dxa"/>
            </w:tcMar>
            <w:vAlign w:val="center"/>
          </w:tcPr>
          <w:p>
            <w:r>
              <w:t>KeychainHelper.swift:29–40, 82–98</w:t>
            </w:r>
          </w:p>
        </w:tc>
      </w:tr>
      <w:tr>
        <w:trPr>
          <w:cantSplit w:val="true"/>
        </w:trPr>
        <w:tc>
          <w:tcPr>
            <w:tcW w:type="dxa" w:w="1000"/>
            <w:tcMar>
              <w:top w:w="90" w:type="dxa"/>
              <w:start w:w="120" w:type="dxa"/>
              <w:bottom w:w="90" w:type="dxa"/>
              <w:end w:w="120" w:type="dxa"/>
            </w:tcMar>
            <w:vAlign w:val="center"/>
          </w:tcPr>
          <w:p>
            <w:r>
              <w:t>POS-02</w:t>
            </w:r>
          </w:p>
        </w:tc>
        <w:tc>
          <w:tcPr>
            <w:tcW w:type="dxa" w:w="2200"/>
            <w:tcMar>
              <w:top w:w="90" w:type="dxa"/>
              <w:start w:w="120" w:type="dxa"/>
              <w:bottom w:w="90" w:type="dxa"/>
              <w:end w:w="120" w:type="dxa"/>
            </w:tcMar>
            <w:vAlign w:val="center"/>
          </w:tcPr>
          <w:p>
            <w:r>
              <w:t>Verschlüsselte Netzwerktransporte</w:t>
            </w:r>
          </w:p>
        </w:tc>
        <w:tc>
          <w:tcPr>
            <w:tcW w:type="dxa" w:w="3460"/>
            <w:tcMar>
              <w:top w:w="90" w:type="dxa"/>
              <w:start w:w="120" w:type="dxa"/>
              <w:bottom w:w="90" w:type="dxa"/>
              <w:end w:w="120" w:type="dxa"/>
            </w:tcMar>
            <w:vAlign w:val="center"/>
          </w:tcPr>
          <w:p>
            <w:r>
              <w:t>Im statischen Audit wurden produktive HTTP-Aufrufe ausschließlich mit HTTPS gefunden; keine ATS-Ausnahme erkennbar.</w:t>
            </w:r>
          </w:p>
        </w:tc>
        <w:tc>
          <w:tcPr>
            <w:tcW w:type="dxa" w:w="2700"/>
            <w:tcMar>
              <w:top w:w="90" w:type="dxa"/>
              <w:start w:w="120" w:type="dxa"/>
              <w:bottom w:w="90" w:type="dxa"/>
              <w:end w:w="120" w:type="dxa"/>
            </w:tcMar>
            <w:vAlign w:val="center"/>
          </w:tcPr>
          <w:p>
            <w:r>
              <w:t>Profil.swift; Finanzen.swift</w:t>
            </w:r>
          </w:p>
        </w:tc>
      </w:tr>
      <w:tr>
        <w:trPr>
          <w:cantSplit w:val="true"/>
        </w:trPr>
        <w:tc>
          <w:tcPr>
            <w:tcW w:type="dxa" w:w="1000"/>
            <w:tcMar>
              <w:top w:w="90" w:type="dxa"/>
              <w:start w:w="120" w:type="dxa"/>
              <w:bottom w:w="90" w:type="dxa"/>
              <w:end w:w="120" w:type="dxa"/>
            </w:tcMar>
            <w:vAlign w:val="center"/>
          </w:tcPr>
          <w:p>
            <w:r>
              <w:t>POS-03</w:t>
            </w:r>
          </w:p>
        </w:tc>
        <w:tc>
          <w:tcPr>
            <w:tcW w:type="dxa" w:w="2200"/>
            <w:tcMar>
              <w:top w:w="90" w:type="dxa"/>
              <w:start w:w="120" w:type="dxa"/>
              <w:bottom w:w="90" w:type="dxa"/>
              <w:end w:w="120" w:type="dxa"/>
            </w:tcMar>
            <w:vAlign w:val="center"/>
          </w:tcPr>
          <w:p>
            <w:r>
              <w:t>Bestätigte Profillöschung</w:t>
            </w:r>
          </w:p>
        </w:tc>
        <w:tc>
          <w:tcPr>
            <w:tcW w:type="dxa" w:w="3460"/>
            <w:tcMar>
              <w:top w:w="90" w:type="dxa"/>
              <w:start w:w="120" w:type="dxa"/>
              <w:bottom w:w="90" w:type="dxa"/>
              <w:end w:w="120" w:type="dxa"/>
            </w:tcMar>
            <w:vAlign w:val="center"/>
          </w:tcPr>
          <w:p>
            <w:r>
              <w:t>Explizite destruktive Bestätigung sowie Löschung vieler SwiftData-Modelle, Keychain-Einträge, Zustände und Erinnerung vorhanden.</w:t>
            </w:r>
          </w:p>
        </w:tc>
        <w:tc>
          <w:tcPr>
            <w:tcW w:type="dxa" w:w="2700"/>
            <w:tcMar>
              <w:top w:w="90" w:type="dxa"/>
              <w:start w:w="120" w:type="dxa"/>
              <w:bottom w:w="90" w:type="dxa"/>
              <w:end w:w="120" w:type="dxa"/>
            </w:tcMar>
            <w:vAlign w:val="center"/>
          </w:tcPr>
          <w:p>
            <w:r>
              <w:t>Profil.swift:610–624, 1319–1416</w:t>
            </w:r>
          </w:p>
        </w:tc>
      </w:tr>
      <w:tr>
        <w:trPr>
          <w:cantSplit w:val="true"/>
        </w:trPr>
        <w:tc>
          <w:tcPr>
            <w:tcW w:type="dxa" w:w="1000"/>
            <w:tcMar>
              <w:top w:w="90" w:type="dxa"/>
              <w:start w:w="120" w:type="dxa"/>
              <w:bottom w:w="90" w:type="dxa"/>
              <w:end w:w="120" w:type="dxa"/>
            </w:tcMar>
            <w:vAlign w:val="center"/>
          </w:tcPr>
          <w:p>
            <w:r>
              <w:t>POS-04</w:t>
            </w:r>
          </w:p>
        </w:tc>
        <w:tc>
          <w:tcPr>
            <w:tcW w:type="dxa" w:w="2200"/>
            <w:tcMar>
              <w:top w:w="90" w:type="dxa"/>
              <w:start w:w="120" w:type="dxa"/>
              <w:bottom w:w="90" w:type="dxa"/>
              <w:end w:w="120" w:type="dxa"/>
            </w:tcMar>
            <w:vAlign w:val="center"/>
          </w:tcPr>
          <w:p>
            <w:r>
              <w:t>Mitteilungsberechtigung im Nutzungskontext</w:t>
            </w:r>
          </w:p>
        </w:tc>
        <w:tc>
          <w:tcPr>
            <w:tcW w:type="dxa" w:w="3460"/>
            <w:tcMar>
              <w:top w:w="90" w:type="dxa"/>
              <w:start w:w="120" w:type="dxa"/>
              <w:bottom w:w="90" w:type="dxa"/>
              <w:end w:w="120" w:type="dxa"/>
            </w:tcMar>
            <w:vAlign w:val="center"/>
          </w:tcPr>
          <w:p>
            <w:r>
              <w:t>Berechtigung wird im Erinnerungsablauf angefragt und Ablehnung kann zu den Einstellungen führen.</w:t>
            </w:r>
          </w:p>
        </w:tc>
        <w:tc>
          <w:tcPr>
            <w:tcW w:type="dxa" w:w="2700"/>
            <w:tcMar>
              <w:top w:w="90" w:type="dxa"/>
              <w:start w:w="120" w:type="dxa"/>
              <w:bottom w:w="90" w:type="dxa"/>
              <w:end w:w="120" w:type="dxa"/>
            </w:tcMar>
            <w:vAlign w:val="center"/>
          </w:tcPr>
          <w:p>
            <w:r>
              <w:t>NotificationService.swift; Home.swift:671–678</w:t>
            </w:r>
          </w:p>
        </w:tc>
      </w:tr>
      <w:tr>
        <w:trPr>
          <w:cantSplit w:val="true"/>
        </w:trPr>
        <w:tc>
          <w:tcPr>
            <w:tcW w:type="dxa" w:w="1000"/>
            <w:tcMar>
              <w:top w:w="90" w:type="dxa"/>
              <w:start w:w="120" w:type="dxa"/>
              <w:bottom w:w="90" w:type="dxa"/>
              <w:end w:w="120" w:type="dxa"/>
            </w:tcMar>
            <w:vAlign w:val="center"/>
          </w:tcPr>
          <w:p>
            <w:r>
              <w:t>POS-05</w:t>
            </w:r>
          </w:p>
        </w:tc>
        <w:tc>
          <w:tcPr>
            <w:tcW w:type="dxa" w:w="2200"/>
            <w:tcMar>
              <w:top w:w="90" w:type="dxa"/>
              <w:start w:w="120" w:type="dxa"/>
              <w:bottom w:w="90" w:type="dxa"/>
              <w:end w:w="120" w:type="dxa"/>
            </w:tcMar>
            <w:vAlign w:val="center"/>
          </w:tcPr>
          <w:p>
            <w:r>
              <w:t>System-Fotoauswahl</w:t>
            </w:r>
          </w:p>
        </w:tc>
        <w:tc>
          <w:tcPr>
            <w:tcW w:type="dxa" w:w="3460"/>
            <w:tcMar>
              <w:top w:w="90" w:type="dxa"/>
              <w:start w:w="120" w:type="dxa"/>
              <w:bottom w:w="90" w:type="dxa"/>
              <w:end w:w="120" w:type="dxa"/>
            </w:tcMar>
            <w:vAlign w:val="center"/>
          </w:tcPr>
          <w:p>
            <w:r>
              <w:t>PhotosPicker reduziert unnötigen pauschalen Zugriff beim Import einzelner Medien.</w:t>
            </w:r>
          </w:p>
        </w:tc>
        <w:tc>
          <w:tcPr>
            <w:tcW w:type="dxa" w:w="2700"/>
            <w:tcMar>
              <w:top w:w="90" w:type="dxa"/>
              <w:start w:w="120" w:type="dxa"/>
              <w:bottom w:w="90" w:type="dxa"/>
              <w:end w:w="120" w:type="dxa"/>
            </w:tcMar>
            <w:vAlign w:val="center"/>
          </w:tcPr>
          <w:p>
            <w:r>
              <w:t>Dokumente.swift:442; Wuensche.swift:784,849</w:t>
            </w:r>
          </w:p>
        </w:tc>
      </w:tr>
      <w:tr>
        <w:trPr>
          <w:cantSplit w:val="true"/>
        </w:trPr>
        <w:tc>
          <w:tcPr>
            <w:tcW w:type="dxa" w:w="1000"/>
            <w:tcMar>
              <w:top w:w="90" w:type="dxa"/>
              <w:start w:w="120" w:type="dxa"/>
              <w:bottom w:w="90" w:type="dxa"/>
              <w:end w:w="120" w:type="dxa"/>
            </w:tcMar>
            <w:vAlign w:val="center"/>
          </w:tcPr>
          <w:p>
            <w:r>
              <w:t>POS-06</w:t>
            </w:r>
          </w:p>
        </w:tc>
        <w:tc>
          <w:tcPr>
            <w:tcW w:type="dxa" w:w="2200"/>
            <w:tcMar>
              <w:top w:w="90" w:type="dxa"/>
              <w:start w:w="120" w:type="dxa"/>
              <w:bottom w:w="90" w:type="dxa"/>
              <w:end w:w="120" w:type="dxa"/>
            </w:tcMar>
            <w:vAlign w:val="center"/>
          </w:tcPr>
          <w:p>
            <w:r>
              <w:t>Keine externen Swift Packages</w:t>
            </w:r>
          </w:p>
        </w:tc>
        <w:tc>
          <w:tcPr>
            <w:tcW w:type="dxa" w:w="3460"/>
            <w:tcMar>
              <w:top w:w="90" w:type="dxa"/>
              <w:start w:w="120" w:type="dxa"/>
              <w:bottom w:w="90" w:type="dxa"/>
              <w:end w:w="120" w:type="dxa"/>
            </w:tcMar>
            <w:vAlign w:val="center"/>
          </w:tcPr>
          <w:p>
            <w:r>
              <w:t>Im Xcode-Projekt sind aktuell keine Package-Produkte eingebunden; dadurch ist die Drittanbieter-SDK-Fläche klein.</w:t>
            </w:r>
          </w:p>
        </w:tc>
        <w:tc>
          <w:tcPr>
            <w:tcW w:type="dxa" w:w="2700"/>
            <w:tcMar>
              <w:top w:w="90" w:type="dxa"/>
              <w:start w:w="120" w:type="dxa"/>
              <w:bottom w:w="90" w:type="dxa"/>
              <w:end w:w="120" w:type="dxa"/>
            </w:tcMar>
            <w:vAlign w:val="center"/>
          </w:tcPr>
          <w:p>
            <w:r>
              <w:t>project.pbxproj:174,197,220</w:t>
            </w:r>
          </w:p>
        </w:tc>
      </w:tr>
    </w:tbl>
    <w:p>
      <w:pPr>
        <w:pStyle w:val="Heading1"/>
      </w:pPr>
      <w:r>
        <w:t>Vorläufiges Dateninventar</w:t>
      </w:r>
    </w:p>
    <w:p>
      <w:r>
        <w:t>Die folgende Übersicht ist aus den SwiftData-Modellen und Nutzungsstellen abgeleitet. Sie ist in Phase 2 um Empfänger, Rechtsgrundlage, Aufbewahrungsfrist und endgültige Schutzmaßnahme zu ergänzen.</w:t>
      </w:r>
    </w:p>
    <w:tbl>
      <w:tblPr>
        <w:tblStyle w:val="TableGrid"/>
        <w:tblW w:type="dxa" w:w="9360"/>
        <w:jc w:val="left"/>
        <w:tblLayout w:type="fixed"/>
        <w:tblLook w:firstColumn="1" w:firstRow="1" w:lastColumn="0" w:lastRow="0" w:noHBand="0" w:noVBand="1" w:val="04A0"/>
        <w:tblInd w:w="120" w:type="dxa"/>
      </w:tblPr>
      <w:tblGrid>
        <w:gridCol w:w="1900"/>
        <w:gridCol w:w="3500"/>
        <w:gridCol w:w="2460"/>
        <w:gridCol w:w="1500"/>
      </w:tblGrid>
      <w:tr>
        <w:trPr>
          <w:tblHeader w:val="true"/>
        </w:trPr>
        <w:tc>
          <w:tcPr>
            <w:tcW w:type="dxa" w:w="1900"/>
            <w:shd w:fill="2E6F73"/>
            <w:tcMar>
              <w:top w:w="90" w:type="dxa"/>
              <w:start w:w="120" w:type="dxa"/>
              <w:bottom w:w="90" w:type="dxa"/>
              <w:end w:w="120" w:type="dxa"/>
            </w:tcMar>
            <w:vAlign w:val="center"/>
          </w:tcPr>
          <w:p>
            <w:r>
              <w:rPr>
                <w:b/>
                <w:color w:val="FFFFFF"/>
              </w:rPr>
              <w:t>Kategorie</w:t>
            </w:r>
          </w:p>
        </w:tc>
        <w:tc>
          <w:tcPr>
            <w:tcW w:type="dxa" w:w="3500"/>
            <w:shd w:fill="2E6F73"/>
            <w:tcMar>
              <w:top w:w="90" w:type="dxa"/>
              <w:start w:w="120" w:type="dxa"/>
              <w:bottom w:w="90" w:type="dxa"/>
              <w:end w:w="120" w:type="dxa"/>
            </w:tcMar>
            <w:vAlign w:val="center"/>
          </w:tcPr>
          <w:p>
            <w:r>
              <w:rPr>
                <w:b/>
                <w:color w:val="FFFFFF"/>
              </w:rPr>
              <w:t>Beispiele</w:t>
            </w:r>
          </w:p>
        </w:tc>
        <w:tc>
          <w:tcPr>
            <w:tcW w:type="dxa" w:w="2460"/>
            <w:shd w:fill="2E6F73"/>
            <w:tcMar>
              <w:top w:w="90" w:type="dxa"/>
              <w:start w:w="120" w:type="dxa"/>
              <w:bottom w:w="90" w:type="dxa"/>
              <w:end w:w="120" w:type="dxa"/>
            </w:tcMar>
            <w:vAlign w:val="center"/>
          </w:tcPr>
          <w:p>
            <w:r>
              <w:rPr>
                <w:b/>
                <w:color w:val="FFFFFF"/>
              </w:rPr>
              <w:t>Speicher/Empfänger</w:t>
            </w:r>
          </w:p>
        </w:tc>
        <w:tc>
          <w:tcPr>
            <w:tcW w:type="dxa" w:w="1500"/>
            <w:shd w:fill="2E6F73"/>
            <w:tcMar>
              <w:top w:w="90" w:type="dxa"/>
              <w:start w:w="120" w:type="dxa"/>
              <w:bottom w:w="90" w:type="dxa"/>
              <w:end w:w="120" w:type="dxa"/>
            </w:tcMar>
            <w:vAlign w:val="center"/>
          </w:tcPr>
          <w:p>
            <w:r>
              <w:rPr>
                <w:b/>
                <w:color w:val="FFFFFF"/>
              </w:rPr>
              <w:t>Schutzbedarf</w:t>
            </w:r>
          </w:p>
        </w:tc>
      </w:tr>
      <w:tr>
        <w:trPr>
          <w:cantSplit w:val="true"/>
        </w:trPr>
        <w:tc>
          <w:tcPr>
            <w:tcW w:type="dxa" w:w="1900"/>
            <w:tcMar>
              <w:top w:w="90" w:type="dxa"/>
              <w:start w:w="120" w:type="dxa"/>
              <w:bottom w:w="90" w:type="dxa"/>
              <w:end w:w="120" w:type="dxa"/>
            </w:tcMar>
            <w:vAlign w:val="center"/>
          </w:tcPr>
          <w:p>
            <w:r>
              <w:t>Profil und Identität</w:t>
            </w:r>
          </w:p>
        </w:tc>
        <w:tc>
          <w:tcPr>
            <w:tcW w:type="dxa" w:w="3500"/>
            <w:tcMar>
              <w:top w:w="90" w:type="dxa"/>
              <w:start w:w="120" w:type="dxa"/>
              <w:bottom w:w="90" w:type="dxa"/>
              <w:end w:w="120" w:type="dxa"/>
            </w:tcMar>
            <w:vAlign w:val="center"/>
          </w:tcPr>
          <w:p>
            <w:r>
              <w:t>Name, Geburtstag, Adresse, Telefon, E-Mail, AHV-Nummer, Profilbild</w:t>
            </w:r>
          </w:p>
        </w:tc>
        <w:tc>
          <w:tcPr>
            <w:tcW w:type="dxa" w:w="2460"/>
            <w:tcMar>
              <w:top w:w="90" w:type="dxa"/>
              <w:start w:w="120" w:type="dxa"/>
              <w:bottom w:w="90" w:type="dxa"/>
              <w:end w:w="120" w:type="dxa"/>
            </w:tcMar>
            <w:vAlign w:val="center"/>
          </w:tcPr>
          <w:p>
            <w:r>
              <w:t>SwiftData; teilweise AppStorage</w:t>
            </w:r>
          </w:p>
        </w:tc>
        <w:tc>
          <w:tcPr>
            <w:tcW w:type="dxa" w:w="1500"/>
            <w:tcMar>
              <w:top w:w="90" w:type="dxa"/>
              <w:start w:w="120" w:type="dxa"/>
              <w:bottom w:w="90" w:type="dxa"/>
              <w:end w:w="120" w:type="dxa"/>
            </w:tcMar>
            <w:vAlign w:val="center"/>
          </w:tcPr>
          <w:p>
            <w:r>
              <w:t>Sehr hoch</w:t>
            </w:r>
          </w:p>
        </w:tc>
      </w:tr>
      <w:tr>
        <w:trPr>
          <w:cantSplit w:val="true"/>
        </w:trPr>
        <w:tc>
          <w:tcPr>
            <w:tcW w:type="dxa" w:w="1900"/>
            <w:tcMar>
              <w:top w:w="90" w:type="dxa"/>
              <w:start w:w="120" w:type="dxa"/>
              <w:bottom w:w="90" w:type="dxa"/>
              <w:end w:w="120" w:type="dxa"/>
            </w:tcMar>
            <w:vAlign w:val="center"/>
          </w:tcPr>
          <w:p>
            <w:r>
              <w:t>Authentifizierung</w:t>
            </w:r>
          </w:p>
        </w:tc>
        <w:tc>
          <w:tcPr>
            <w:tcW w:type="dxa" w:w="3500"/>
            <w:tcMar>
              <w:top w:w="90" w:type="dxa"/>
              <w:start w:w="120" w:type="dxa"/>
              <w:bottom w:w="90" w:type="dxa"/>
              <w:end w:w="120" w:type="dxa"/>
            </w:tcMar>
            <w:vAlign w:val="center"/>
          </w:tcPr>
          <w:p>
            <w:r>
              <w:t>E-Mail, Passwort, Loginstatus, biometrischer Status</w:t>
            </w:r>
          </w:p>
        </w:tc>
        <w:tc>
          <w:tcPr>
            <w:tcW w:type="dxa" w:w="2460"/>
            <w:tcMar>
              <w:top w:w="90" w:type="dxa"/>
              <w:start w:w="120" w:type="dxa"/>
              <w:bottom w:w="90" w:type="dxa"/>
              <w:end w:w="120" w:type="dxa"/>
            </w:tcMar>
            <w:vAlign w:val="center"/>
          </w:tcPr>
          <w:p>
            <w:r>
              <w:t>Keychain, AppStorage, SwiftData</w:t>
            </w:r>
          </w:p>
        </w:tc>
        <w:tc>
          <w:tcPr>
            <w:tcW w:type="dxa" w:w="1500"/>
            <w:tcMar>
              <w:top w:w="90" w:type="dxa"/>
              <w:start w:w="120" w:type="dxa"/>
              <w:bottom w:w="90" w:type="dxa"/>
              <w:end w:w="120" w:type="dxa"/>
            </w:tcMar>
            <w:vAlign w:val="center"/>
          </w:tcPr>
          <w:p>
            <w:r>
              <w:t>Sehr hoch</w:t>
            </w:r>
          </w:p>
        </w:tc>
      </w:tr>
      <w:tr>
        <w:trPr>
          <w:cantSplit w:val="true"/>
        </w:trPr>
        <w:tc>
          <w:tcPr>
            <w:tcW w:type="dxa" w:w="1900"/>
            <w:tcMar>
              <w:top w:w="90" w:type="dxa"/>
              <w:start w:w="120" w:type="dxa"/>
              <w:bottom w:w="90" w:type="dxa"/>
              <w:end w:w="120" w:type="dxa"/>
            </w:tcMar>
            <w:vAlign w:val="center"/>
          </w:tcPr>
          <w:p>
            <w:r>
              <w:t>Gesundheit</w:t>
            </w:r>
          </w:p>
        </w:tc>
        <w:tc>
          <w:tcPr>
            <w:tcW w:type="dxa" w:w="3500"/>
            <w:tcMar>
              <w:top w:w="90" w:type="dxa"/>
              <w:start w:w="120" w:type="dxa"/>
              <w:bottom w:w="90" w:type="dxa"/>
              <w:end w:w="120" w:type="dxa"/>
            </w:tcMar>
            <w:vAlign w:val="center"/>
          </w:tcPr>
          <w:p>
            <w:r>
              <w:t>Hausarzt, Blutgruppe, Allergien, Medikamente, Organspende, Hinweise</w:t>
            </w:r>
          </w:p>
        </w:tc>
        <w:tc>
          <w:tcPr>
            <w:tcW w:type="dxa" w:w="2460"/>
            <w:tcMar>
              <w:top w:w="90" w:type="dxa"/>
              <w:start w:w="120" w:type="dxa"/>
              <w:bottom w:w="90" w:type="dxa"/>
              <w:end w:w="120" w:type="dxa"/>
            </w:tcMar>
            <w:vAlign w:val="center"/>
          </w:tcPr>
          <w:p>
            <w:r>
              <w:t>SwiftData</w:t>
            </w:r>
          </w:p>
        </w:tc>
        <w:tc>
          <w:tcPr>
            <w:tcW w:type="dxa" w:w="1500"/>
            <w:tcMar>
              <w:top w:w="90" w:type="dxa"/>
              <w:start w:w="120" w:type="dxa"/>
              <w:bottom w:w="90" w:type="dxa"/>
              <w:end w:w="120" w:type="dxa"/>
            </w:tcMar>
            <w:vAlign w:val="center"/>
          </w:tcPr>
          <w:p>
            <w:r>
              <w:t>Sehr hoch</w:t>
            </w:r>
          </w:p>
        </w:tc>
      </w:tr>
      <w:tr>
        <w:trPr>
          <w:cantSplit w:val="true"/>
        </w:trPr>
        <w:tc>
          <w:tcPr>
            <w:tcW w:type="dxa" w:w="1900"/>
            <w:tcMar>
              <w:top w:w="90" w:type="dxa"/>
              <w:start w:w="120" w:type="dxa"/>
              <w:bottom w:w="90" w:type="dxa"/>
              <w:end w:w="120" w:type="dxa"/>
            </w:tcMar>
            <w:vAlign w:val="center"/>
          </w:tcPr>
          <w:p>
            <w:r>
              <w:t>Finanzen</w:t>
            </w:r>
          </w:p>
        </w:tc>
        <w:tc>
          <w:tcPr>
            <w:tcW w:type="dxa" w:w="3500"/>
            <w:tcMar>
              <w:top w:w="90" w:type="dxa"/>
              <w:start w:w="120" w:type="dxa"/>
              <w:bottom w:w="90" w:type="dxa"/>
              <w:end w:w="120" w:type="dxa"/>
            </w:tcMar>
            <w:vAlign w:val="center"/>
          </w:tcPr>
          <w:p>
            <w:r>
              <w:t>Bankkonten, IBAN, Schulden, Versicherungen, Immobilien, Wertsachen, Steuerunterlagen</w:t>
            </w:r>
          </w:p>
        </w:tc>
        <w:tc>
          <w:tcPr>
            <w:tcW w:type="dxa" w:w="2460"/>
            <w:tcMar>
              <w:top w:w="90" w:type="dxa"/>
              <w:start w:w="120" w:type="dxa"/>
              <w:bottom w:w="90" w:type="dxa"/>
              <w:end w:w="120" w:type="dxa"/>
            </w:tcMar>
            <w:vAlign w:val="center"/>
          </w:tcPr>
          <w:p>
            <w:r>
              <w:t>SwiftData; OpenIBAN</w:t>
            </w:r>
          </w:p>
        </w:tc>
        <w:tc>
          <w:tcPr>
            <w:tcW w:type="dxa" w:w="1500"/>
            <w:tcMar>
              <w:top w:w="90" w:type="dxa"/>
              <w:start w:w="120" w:type="dxa"/>
              <w:bottom w:w="90" w:type="dxa"/>
              <w:end w:w="120" w:type="dxa"/>
            </w:tcMar>
            <w:vAlign w:val="center"/>
          </w:tcPr>
          <w:p>
            <w:r>
              <w:t>Sehr hoch</w:t>
            </w:r>
          </w:p>
        </w:tc>
      </w:tr>
      <w:tr>
        <w:trPr>
          <w:cantSplit w:val="true"/>
        </w:trPr>
        <w:tc>
          <w:tcPr>
            <w:tcW w:type="dxa" w:w="1900"/>
            <w:tcMar>
              <w:top w:w="90" w:type="dxa"/>
              <w:start w:w="120" w:type="dxa"/>
              <w:bottom w:w="90" w:type="dxa"/>
              <w:end w:w="120" w:type="dxa"/>
            </w:tcMar>
            <w:vAlign w:val="center"/>
          </w:tcPr>
          <w:p>
            <w:r>
              <w:t>Digitale Konten</w:t>
            </w:r>
          </w:p>
        </w:tc>
        <w:tc>
          <w:tcPr>
            <w:tcW w:type="dxa" w:w="3500"/>
            <w:tcMar>
              <w:top w:w="90" w:type="dxa"/>
              <w:start w:w="120" w:type="dxa"/>
              <w:bottom w:w="90" w:type="dxa"/>
              <w:end w:w="120" w:type="dxa"/>
            </w:tcMar>
            <w:vAlign w:val="center"/>
          </w:tcPr>
          <w:p>
            <w:r>
              <w:t>Anbieter, Benutzername, Passwort, Geräte-PIN, Notizen</w:t>
            </w:r>
          </w:p>
        </w:tc>
        <w:tc>
          <w:tcPr>
            <w:tcW w:type="dxa" w:w="2460"/>
            <w:tcMar>
              <w:top w:w="90" w:type="dxa"/>
              <w:start w:w="120" w:type="dxa"/>
              <w:bottom w:w="90" w:type="dxa"/>
              <w:end w:w="120" w:type="dxa"/>
            </w:tcMar>
            <w:vAlign w:val="center"/>
          </w:tcPr>
          <w:p>
            <w:r>
              <w:t>SwiftData</w:t>
            </w:r>
          </w:p>
        </w:tc>
        <w:tc>
          <w:tcPr>
            <w:tcW w:type="dxa" w:w="1500"/>
            <w:tcMar>
              <w:top w:w="90" w:type="dxa"/>
              <w:start w:w="120" w:type="dxa"/>
              <w:bottom w:w="90" w:type="dxa"/>
              <w:end w:w="120" w:type="dxa"/>
            </w:tcMar>
            <w:vAlign w:val="center"/>
          </w:tcPr>
          <w:p>
            <w:r>
              <w:t>Sehr hoch</w:t>
            </w:r>
          </w:p>
        </w:tc>
      </w:tr>
      <w:tr>
        <w:trPr>
          <w:cantSplit w:val="true"/>
        </w:trPr>
        <w:tc>
          <w:tcPr>
            <w:tcW w:type="dxa" w:w="1900"/>
            <w:tcMar>
              <w:top w:w="90" w:type="dxa"/>
              <w:start w:w="120" w:type="dxa"/>
              <w:bottom w:w="90" w:type="dxa"/>
              <w:end w:w="120" w:type="dxa"/>
            </w:tcMar>
            <w:vAlign w:val="center"/>
          </w:tcPr>
          <w:p>
            <w:r>
              <w:t>Vorsorge und Wünsche</w:t>
            </w:r>
          </w:p>
        </w:tc>
        <w:tc>
          <w:tcPr>
            <w:tcW w:type="dxa" w:w="3500"/>
            <w:tcMar>
              <w:top w:w="90" w:type="dxa"/>
              <w:start w:w="120" w:type="dxa"/>
              <w:bottom w:w="90" w:type="dxa"/>
              <w:end w:w="120" w:type="dxa"/>
            </w:tcMar>
            <w:vAlign w:val="center"/>
          </w:tcPr>
          <w:p>
            <w:r>
              <w:t>Bestattung, letzte Botschaft, Patientenverfügung, Vorsorgeauftrag, Krankheit</w:t>
            </w:r>
          </w:p>
        </w:tc>
        <w:tc>
          <w:tcPr>
            <w:tcW w:type="dxa" w:w="2460"/>
            <w:tcMar>
              <w:top w:w="90" w:type="dxa"/>
              <w:start w:w="120" w:type="dxa"/>
              <w:bottom w:w="90" w:type="dxa"/>
              <w:end w:w="120" w:type="dxa"/>
            </w:tcMar>
            <w:vAlign w:val="center"/>
          </w:tcPr>
          <w:p>
            <w:r>
              <w:t>SwiftData/externer Speicher</w:t>
            </w:r>
          </w:p>
        </w:tc>
        <w:tc>
          <w:tcPr>
            <w:tcW w:type="dxa" w:w="1500"/>
            <w:tcMar>
              <w:top w:w="90" w:type="dxa"/>
              <w:start w:w="120" w:type="dxa"/>
              <w:bottom w:w="90" w:type="dxa"/>
              <w:end w:w="120" w:type="dxa"/>
            </w:tcMar>
            <w:vAlign w:val="center"/>
          </w:tcPr>
          <w:p>
            <w:r>
              <w:t>Sehr hoch</w:t>
            </w:r>
          </w:p>
        </w:tc>
      </w:tr>
      <w:tr>
        <w:trPr>
          <w:cantSplit w:val="true"/>
        </w:trPr>
        <w:tc>
          <w:tcPr>
            <w:tcW w:type="dxa" w:w="1900"/>
            <w:tcMar>
              <w:top w:w="90" w:type="dxa"/>
              <w:start w:w="120" w:type="dxa"/>
              <w:bottom w:w="90" w:type="dxa"/>
              <w:end w:w="120" w:type="dxa"/>
            </w:tcMar>
            <w:vAlign w:val="center"/>
          </w:tcPr>
          <w:p>
            <w:r>
              <w:t>Dokumente und Medien</w:t>
            </w:r>
          </w:p>
        </w:tc>
        <w:tc>
          <w:tcPr>
            <w:tcW w:type="dxa" w:w="3500"/>
            <w:tcMar>
              <w:top w:w="90" w:type="dxa"/>
              <w:start w:w="120" w:type="dxa"/>
              <w:bottom w:w="90" w:type="dxa"/>
              <w:end w:w="120" w:type="dxa"/>
            </w:tcMar>
            <w:vAlign w:val="center"/>
          </w:tcPr>
          <w:p>
            <w:r>
              <w:t>Scans, Fotos, Videos, Testamente, PDFs</w:t>
            </w:r>
          </w:p>
        </w:tc>
        <w:tc>
          <w:tcPr>
            <w:tcW w:type="dxa" w:w="2460"/>
            <w:tcMar>
              <w:top w:w="90" w:type="dxa"/>
              <w:start w:w="120" w:type="dxa"/>
              <w:bottom w:w="90" w:type="dxa"/>
              <w:end w:w="120" w:type="dxa"/>
            </w:tcMar>
            <w:vAlign w:val="center"/>
          </w:tcPr>
          <w:p>
            <w:r>
              <w:t>SwiftData/externer Speicher/temp. Dateien</w:t>
            </w:r>
          </w:p>
        </w:tc>
        <w:tc>
          <w:tcPr>
            <w:tcW w:type="dxa" w:w="1500"/>
            <w:tcMar>
              <w:top w:w="90" w:type="dxa"/>
              <w:start w:w="120" w:type="dxa"/>
              <w:bottom w:w="90" w:type="dxa"/>
              <w:end w:w="120" w:type="dxa"/>
            </w:tcMar>
            <w:vAlign w:val="center"/>
          </w:tcPr>
          <w:p>
            <w:r>
              <w:t>Sehr hoch</w:t>
            </w:r>
          </w:p>
        </w:tc>
      </w:tr>
      <w:tr>
        <w:trPr>
          <w:cantSplit w:val="true"/>
        </w:trPr>
        <w:tc>
          <w:tcPr>
            <w:tcW w:type="dxa" w:w="1900"/>
            <w:tcMar>
              <w:top w:w="90" w:type="dxa"/>
              <w:start w:w="120" w:type="dxa"/>
              <w:bottom w:w="90" w:type="dxa"/>
              <w:end w:w="120" w:type="dxa"/>
            </w:tcMar>
            <w:vAlign w:val="center"/>
          </w:tcPr>
          <w:p>
            <w:r>
              <w:t>Drittpersonen</w:t>
            </w:r>
          </w:p>
        </w:tc>
        <w:tc>
          <w:tcPr>
            <w:tcW w:type="dxa" w:w="3500"/>
            <w:tcMar>
              <w:top w:w="90" w:type="dxa"/>
              <w:start w:w="120" w:type="dxa"/>
              <w:bottom w:w="90" w:type="dxa"/>
              <w:end w:w="120" w:type="dxa"/>
            </w:tcMar>
            <w:vAlign w:val="center"/>
          </w:tcPr>
          <w:p>
            <w:r>
              <w:t>Hinterbliebene, Ärzte, Vertrauenspersonen, Kontaktdaten</w:t>
            </w:r>
          </w:p>
        </w:tc>
        <w:tc>
          <w:tcPr>
            <w:tcW w:type="dxa" w:w="2460"/>
            <w:tcMar>
              <w:top w:w="90" w:type="dxa"/>
              <w:start w:w="120" w:type="dxa"/>
              <w:bottom w:w="90" w:type="dxa"/>
              <w:end w:w="120" w:type="dxa"/>
            </w:tcMar>
            <w:vAlign w:val="center"/>
          </w:tcPr>
          <w:p>
            <w:r>
              <w:t>SwiftData</w:t>
            </w:r>
          </w:p>
        </w:tc>
        <w:tc>
          <w:tcPr>
            <w:tcW w:type="dxa" w:w="1500"/>
            <w:tcMar>
              <w:top w:w="90" w:type="dxa"/>
              <w:start w:w="120" w:type="dxa"/>
              <w:bottom w:w="90" w:type="dxa"/>
              <w:end w:w="120" w:type="dxa"/>
            </w:tcMar>
            <w:vAlign w:val="center"/>
          </w:tcPr>
          <w:p>
            <w:r>
              <w:t>Hoch</w:t>
            </w:r>
          </w:p>
        </w:tc>
      </w:tr>
      <w:tr>
        <w:trPr>
          <w:cantSplit w:val="true"/>
        </w:trPr>
        <w:tc>
          <w:tcPr>
            <w:tcW w:type="dxa" w:w="1900"/>
            <w:tcMar>
              <w:top w:w="90" w:type="dxa"/>
              <w:start w:w="120" w:type="dxa"/>
              <w:bottom w:w="90" w:type="dxa"/>
              <w:end w:w="120" w:type="dxa"/>
            </w:tcMar>
            <w:vAlign w:val="center"/>
          </w:tcPr>
          <w:p>
            <w:r>
              <w:t>Freigaben</w:t>
            </w:r>
          </w:p>
        </w:tc>
        <w:tc>
          <w:tcPr>
            <w:tcW w:type="dxa" w:w="3500"/>
            <w:tcMar>
              <w:top w:w="90" w:type="dxa"/>
              <w:start w:w="120" w:type="dxa"/>
              <w:bottom w:w="90" w:type="dxa"/>
              <w:end w:w="120" w:type="dxa"/>
            </w:tcMar>
            <w:vAlign w:val="center"/>
          </w:tcPr>
          <w:p>
            <w:r>
              <w:t>Dossier-IDs, E-Mail, Rollen, Status, Einladungs- und Zugriffstokens</w:t>
            </w:r>
          </w:p>
        </w:tc>
        <w:tc>
          <w:tcPr>
            <w:tcW w:type="dxa" w:w="2460"/>
            <w:tcMar>
              <w:top w:w="90" w:type="dxa"/>
              <w:start w:w="120" w:type="dxa"/>
              <w:bottom w:w="90" w:type="dxa"/>
              <w:end w:w="120" w:type="dxa"/>
            </w:tcMar>
            <w:vAlign w:val="center"/>
          </w:tcPr>
          <w:p>
            <w:r>
              <w:t>SwiftData, UserDefaults, URL</w:t>
            </w:r>
          </w:p>
        </w:tc>
        <w:tc>
          <w:tcPr>
            <w:tcW w:type="dxa" w:w="1500"/>
            <w:tcMar>
              <w:top w:w="90" w:type="dxa"/>
              <w:start w:w="120" w:type="dxa"/>
              <w:bottom w:w="90" w:type="dxa"/>
              <w:end w:w="120" w:type="dxa"/>
            </w:tcMar>
            <w:vAlign w:val="center"/>
          </w:tcPr>
          <w:p>
            <w:r>
              <w:t>Sehr hoch</w:t>
            </w:r>
          </w:p>
        </w:tc>
      </w:tr>
      <w:tr>
        <w:trPr>
          <w:cantSplit w:val="true"/>
        </w:trPr>
        <w:tc>
          <w:tcPr>
            <w:tcW w:type="dxa" w:w="1900"/>
            <w:tcMar>
              <w:top w:w="90" w:type="dxa"/>
              <w:start w:w="120" w:type="dxa"/>
              <w:bottom w:w="90" w:type="dxa"/>
              <w:end w:w="120" w:type="dxa"/>
            </w:tcMar>
            <w:vAlign w:val="center"/>
          </w:tcPr>
          <w:p>
            <w:r>
              <w:t>Nutzungszustand</w:t>
            </w:r>
          </w:p>
        </w:tc>
        <w:tc>
          <w:tcPr>
            <w:tcW w:type="dxa" w:w="3500"/>
            <w:tcMar>
              <w:top w:w="90" w:type="dxa"/>
              <w:start w:w="120" w:type="dxa"/>
              <w:bottom w:w="90" w:type="dxa"/>
              <w:end w:w="120" w:type="dxa"/>
            </w:tcMar>
            <w:vAlign w:val="center"/>
          </w:tcPr>
          <w:p>
            <w:r>
              <w:t>Navigation, Bereichsstatus, Erinnerungsdatum, Berechtigungsstatus</w:t>
            </w:r>
          </w:p>
        </w:tc>
        <w:tc>
          <w:tcPr>
            <w:tcW w:type="dxa" w:w="2460"/>
            <w:tcMar>
              <w:top w:w="90" w:type="dxa"/>
              <w:start w:w="120" w:type="dxa"/>
              <w:bottom w:w="90" w:type="dxa"/>
              <w:end w:w="120" w:type="dxa"/>
            </w:tcMar>
            <w:vAlign w:val="center"/>
          </w:tcPr>
          <w:p>
            <w:r>
              <w:t>AppStorage/UserDefaults</w:t>
            </w:r>
          </w:p>
        </w:tc>
        <w:tc>
          <w:tcPr>
            <w:tcW w:type="dxa" w:w="1500"/>
            <w:tcMar>
              <w:top w:w="90" w:type="dxa"/>
              <w:start w:w="120" w:type="dxa"/>
              <w:bottom w:w="90" w:type="dxa"/>
              <w:end w:w="120" w:type="dxa"/>
            </w:tcMar>
            <w:vAlign w:val="center"/>
          </w:tcPr>
          <w:p>
            <w:r>
              <w:t>Mittel</w:t>
            </w:r>
          </w:p>
        </w:tc>
      </w:tr>
    </w:tbl>
    <w:p>
      <w:pPr>
        <w:pStyle w:val="Heading1"/>
      </w:pPr>
      <w:r>
        <w:t>Externe Dienste und Datenflüsse</w:t>
      </w:r>
    </w:p>
    <w:tbl>
      <w:tblPr>
        <w:tblStyle w:val="TableGrid"/>
        <w:tblW w:type="dxa" w:w="9360"/>
        <w:jc w:val="left"/>
        <w:tblLayout w:type="fixed"/>
        <w:tblLook w:firstColumn="1" w:firstRow="1" w:lastColumn="0" w:lastRow="0" w:noHBand="0" w:noVBand="1" w:val="04A0"/>
        <w:tblInd w:w="120" w:type="dxa"/>
      </w:tblPr>
      <w:tblGrid>
        <w:gridCol w:w="2100"/>
        <w:gridCol w:w="2100"/>
        <w:gridCol w:w="2800"/>
        <w:gridCol w:w="2360"/>
      </w:tblGrid>
      <w:tr>
        <w:trPr>
          <w:tblHeader w:val="true"/>
        </w:trPr>
        <w:tc>
          <w:tcPr>
            <w:tcW w:type="dxa" w:w="2100"/>
            <w:shd w:fill="2E6F73"/>
            <w:tcMar>
              <w:top w:w="90" w:type="dxa"/>
              <w:start w:w="120" w:type="dxa"/>
              <w:bottom w:w="90" w:type="dxa"/>
              <w:end w:w="120" w:type="dxa"/>
            </w:tcMar>
            <w:vAlign w:val="center"/>
          </w:tcPr>
          <w:p>
            <w:r>
              <w:rPr>
                <w:b/>
                <w:color w:val="FFFFFF"/>
              </w:rPr>
              <w:t>Dienst</w:t>
            </w:r>
          </w:p>
        </w:tc>
        <w:tc>
          <w:tcPr>
            <w:tcW w:type="dxa" w:w="2100"/>
            <w:shd w:fill="2E6F73"/>
            <w:tcMar>
              <w:top w:w="90" w:type="dxa"/>
              <w:start w:w="120" w:type="dxa"/>
              <w:bottom w:w="90" w:type="dxa"/>
              <w:end w:w="120" w:type="dxa"/>
            </w:tcMar>
            <w:vAlign w:val="center"/>
          </w:tcPr>
          <w:p>
            <w:r>
              <w:rPr>
                <w:b/>
                <w:color w:val="FFFFFF"/>
              </w:rPr>
              <w:t>Zweck</w:t>
            </w:r>
          </w:p>
        </w:tc>
        <w:tc>
          <w:tcPr>
            <w:tcW w:type="dxa" w:w="2800"/>
            <w:shd w:fill="2E6F73"/>
            <w:tcMar>
              <w:top w:w="90" w:type="dxa"/>
              <w:start w:w="120" w:type="dxa"/>
              <w:bottom w:w="90" w:type="dxa"/>
              <w:end w:w="120" w:type="dxa"/>
            </w:tcMar>
            <w:vAlign w:val="center"/>
          </w:tcPr>
          <w:p>
            <w:r>
              <w:rPr>
                <w:b/>
                <w:color w:val="FFFFFF"/>
              </w:rPr>
              <w:t>Übermittelte Daten</w:t>
            </w:r>
          </w:p>
        </w:tc>
        <w:tc>
          <w:tcPr>
            <w:tcW w:type="dxa" w:w="2360"/>
            <w:shd w:fill="2E6F73"/>
            <w:tcMar>
              <w:top w:w="90" w:type="dxa"/>
              <w:start w:w="120" w:type="dxa"/>
              <w:bottom w:w="90" w:type="dxa"/>
              <w:end w:w="120" w:type="dxa"/>
            </w:tcMar>
            <w:vAlign w:val="center"/>
          </w:tcPr>
          <w:p>
            <w:r>
              <w:rPr>
                <w:b/>
                <w:color w:val="FFFFFF"/>
              </w:rPr>
              <w:t>Offene Prüfung</w:t>
            </w:r>
          </w:p>
        </w:tc>
      </w:tr>
      <w:tr>
        <w:trPr>
          <w:cantSplit w:val="true"/>
        </w:trPr>
        <w:tc>
          <w:tcPr>
            <w:tcW w:type="dxa" w:w="2100"/>
            <w:tcMar>
              <w:top w:w="90" w:type="dxa"/>
              <w:start w:w="120" w:type="dxa"/>
              <w:bottom w:w="90" w:type="dxa"/>
              <w:end w:w="120" w:type="dxa"/>
            </w:tcMar>
            <w:vAlign w:val="center"/>
          </w:tcPr>
          <w:p>
            <w:r>
              <w:t>Vercel-Proxy / Schweizerische Post</w:t>
            </w:r>
          </w:p>
        </w:tc>
        <w:tc>
          <w:tcPr>
            <w:tcW w:type="dxa" w:w="2100"/>
            <w:tcMar>
              <w:top w:w="90" w:type="dxa"/>
              <w:start w:w="120" w:type="dxa"/>
              <w:bottom w:w="90" w:type="dxa"/>
              <w:end w:w="120" w:type="dxa"/>
            </w:tcMar>
            <w:vAlign w:val="center"/>
          </w:tcPr>
          <w:p>
            <w:r>
              <w:t>Straßensuche und Gebäudeprüfung</w:t>
            </w:r>
          </w:p>
        </w:tc>
        <w:tc>
          <w:tcPr>
            <w:tcW w:type="dxa" w:w="2800"/>
            <w:tcMar>
              <w:top w:w="90" w:type="dxa"/>
              <w:start w:w="120" w:type="dxa"/>
              <w:bottom w:w="90" w:type="dxa"/>
              <w:end w:w="120" w:type="dxa"/>
            </w:tcMar>
            <w:vAlign w:val="center"/>
          </w:tcPr>
          <w:p>
            <w:r>
              <w:t>Suchtext; bei Verifikation Straße, Hausnummer, PLZ, Ort</w:t>
            </w:r>
          </w:p>
        </w:tc>
        <w:tc>
          <w:tcPr>
            <w:tcW w:type="dxa" w:w="2360"/>
            <w:tcMar>
              <w:top w:w="90" w:type="dxa"/>
              <w:start w:w="120" w:type="dxa"/>
              <w:bottom w:w="90" w:type="dxa"/>
              <w:end w:w="120" w:type="dxa"/>
            </w:tcMar>
            <w:vAlign w:val="center"/>
          </w:tcPr>
          <w:p>
            <w:r>
              <w:t>Vertrag, Logs, Standort, Löschfrist und Datenschutzhinweis offen</w:t>
            </w:r>
          </w:p>
        </w:tc>
      </w:tr>
      <w:tr>
        <w:trPr>
          <w:cantSplit w:val="true"/>
        </w:trPr>
        <w:tc>
          <w:tcPr>
            <w:tcW w:type="dxa" w:w="2100"/>
            <w:tcMar>
              <w:top w:w="90" w:type="dxa"/>
              <w:start w:w="120" w:type="dxa"/>
              <w:bottom w:w="90" w:type="dxa"/>
              <w:end w:w="120" w:type="dxa"/>
            </w:tcMar>
            <w:vAlign w:val="center"/>
          </w:tcPr>
          <w:p>
            <w:r>
              <w:t>OpenPLZ API</w:t>
            </w:r>
          </w:p>
        </w:tc>
        <w:tc>
          <w:tcPr>
            <w:tcW w:type="dxa" w:w="2100"/>
            <w:tcMar>
              <w:top w:w="90" w:type="dxa"/>
              <w:start w:w="120" w:type="dxa"/>
              <w:bottom w:w="90" w:type="dxa"/>
              <w:end w:w="120" w:type="dxa"/>
            </w:tcMar>
            <w:vAlign w:val="center"/>
          </w:tcPr>
          <w:p>
            <w:r>
              <w:t>Ortsbestimmung zur PLZ</w:t>
            </w:r>
          </w:p>
        </w:tc>
        <w:tc>
          <w:tcPr>
            <w:tcW w:type="dxa" w:w="2800"/>
            <w:tcMar>
              <w:top w:w="90" w:type="dxa"/>
              <w:start w:w="120" w:type="dxa"/>
              <w:bottom w:w="90" w:type="dxa"/>
              <w:end w:w="120" w:type="dxa"/>
            </w:tcMar>
            <w:vAlign w:val="center"/>
          </w:tcPr>
          <w:p>
            <w:r>
              <w:t>Postleitzahl</w:t>
            </w:r>
          </w:p>
        </w:tc>
        <w:tc>
          <w:tcPr>
            <w:tcW w:type="dxa" w:w="2360"/>
            <w:tcMar>
              <w:top w:w="90" w:type="dxa"/>
              <w:start w:w="120" w:type="dxa"/>
              <w:bottom w:w="90" w:type="dxa"/>
              <w:end w:w="120" w:type="dxa"/>
            </w:tcMar>
            <w:vAlign w:val="center"/>
          </w:tcPr>
          <w:p>
            <w:r>
              <w:t>Datenschutzhinweis und Serverprotokollierung offen</w:t>
            </w:r>
          </w:p>
        </w:tc>
      </w:tr>
      <w:tr>
        <w:trPr>
          <w:cantSplit w:val="true"/>
        </w:trPr>
        <w:tc>
          <w:tcPr>
            <w:tcW w:type="dxa" w:w="2100"/>
            <w:tcMar>
              <w:top w:w="90" w:type="dxa"/>
              <w:start w:w="120" w:type="dxa"/>
              <w:bottom w:w="90" w:type="dxa"/>
              <w:end w:w="120" w:type="dxa"/>
            </w:tcMar>
            <w:vAlign w:val="center"/>
          </w:tcPr>
          <w:p>
            <w:r>
              <w:t>OpenIBAN</w:t>
            </w:r>
          </w:p>
        </w:tc>
        <w:tc>
          <w:tcPr>
            <w:tcW w:type="dxa" w:w="2100"/>
            <w:tcMar>
              <w:top w:w="90" w:type="dxa"/>
              <w:start w:w="120" w:type="dxa"/>
              <w:bottom w:w="90" w:type="dxa"/>
              <w:end w:w="120" w:type="dxa"/>
            </w:tcMar>
            <w:vAlign w:val="center"/>
          </w:tcPr>
          <w:p>
            <w:r>
              <w:t>IBAN-Prüfung</w:t>
            </w:r>
          </w:p>
        </w:tc>
        <w:tc>
          <w:tcPr>
            <w:tcW w:type="dxa" w:w="2800"/>
            <w:tcMar>
              <w:top w:w="90" w:type="dxa"/>
              <w:start w:w="120" w:type="dxa"/>
              <w:bottom w:w="90" w:type="dxa"/>
              <w:end w:w="120" w:type="dxa"/>
            </w:tcMar>
            <w:vAlign w:val="center"/>
          </w:tcPr>
          <w:p>
            <w:r>
              <w:t>Vollständige IBAN im URL-Pfad</w:t>
            </w:r>
          </w:p>
        </w:tc>
        <w:tc>
          <w:tcPr>
            <w:tcW w:type="dxa" w:w="2360"/>
            <w:tcMar>
              <w:top w:w="90" w:type="dxa"/>
              <w:start w:w="120" w:type="dxa"/>
              <w:bottom w:w="90" w:type="dxa"/>
              <w:end w:w="120" w:type="dxa"/>
            </w:tcMar>
            <w:vAlign w:val="center"/>
          </w:tcPr>
          <w:p>
            <w:r>
              <w:t>P0; vor Nutzung ersetzen oder verbindlich absichern</w:t>
            </w:r>
          </w:p>
        </w:tc>
      </w:tr>
      <w:tr>
        <w:trPr>
          <w:cantSplit w:val="true"/>
        </w:trPr>
        <w:tc>
          <w:tcPr>
            <w:tcW w:type="dxa" w:w="2100"/>
            <w:tcMar>
              <w:top w:w="90" w:type="dxa"/>
              <w:start w:w="120" w:type="dxa"/>
              <w:bottom w:w="90" w:type="dxa"/>
              <w:end w:w="120" w:type="dxa"/>
            </w:tcMar>
            <w:vAlign w:val="center"/>
          </w:tcPr>
          <w:p>
            <w:r>
              <w:t>Frankfurter API</w:t>
            </w:r>
          </w:p>
        </w:tc>
        <w:tc>
          <w:tcPr>
            <w:tcW w:type="dxa" w:w="2100"/>
            <w:tcMar>
              <w:top w:w="90" w:type="dxa"/>
              <w:start w:w="120" w:type="dxa"/>
              <w:bottom w:w="90" w:type="dxa"/>
              <w:end w:w="120" w:type="dxa"/>
            </w:tcMar>
            <w:vAlign w:val="center"/>
          </w:tcPr>
          <w:p>
            <w:r>
              <w:t>Wechselkurse</w:t>
            </w:r>
          </w:p>
        </w:tc>
        <w:tc>
          <w:tcPr>
            <w:tcW w:type="dxa" w:w="2800"/>
            <w:tcMar>
              <w:top w:w="90" w:type="dxa"/>
              <w:start w:w="120" w:type="dxa"/>
              <w:bottom w:w="90" w:type="dxa"/>
              <w:end w:w="120" w:type="dxa"/>
            </w:tcMar>
            <w:vAlign w:val="center"/>
          </w:tcPr>
          <w:p>
            <w:r>
              <w:t>Währungscodes; keine erkennbaren Personendaten</w:t>
            </w:r>
          </w:p>
        </w:tc>
        <w:tc>
          <w:tcPr>
            <w:tcW w:type="dxa" w:w="2360"/>
            <w:tcMar>
              <w:top w:w="90" w:type="dxa"/>
              <w:start w:w="120" w:type="dxa"/>
              <w:bottom w:w="90" w:type="dxa"/>
              <w:end w:w="120" w:type="dxa"/>
            </w:tcMar>
            <w:vAlign w:val="center"/>
          </w:tcPr>
          <w:p>
            <w:r>
              <w:t>Geringes Datenschutzrisiko; Verfügbarkeit dokumentieren</w:t>
            </w:r>
          </w:p>
        </w:tc>
      </w:tr>
      <w:tr>
        <w:trPr>
          <w:cantSplit w:val="true"/>
        </w:trPr>
        <w:tc>
          <w:tcPr>
            <w:tcW w:type="dxa" w:w="2100"/>
            <w:tcMar>
              <w:top w:w="90" w:type="dxa"/>
              <w:start w:w="120" w:type="dxa"/>
              <w:bottom w:w="90" w:type="dxa"/>
              <w:end w:w="120" w:type="dxa"/>
            </w:tcMar>
            <w:vAlign w:val="center"/>
          </w:tcPr>
          <w:p>
            <w:r>
              <w:t>tschluessli.ch</w:t>
            </w:r>
          </w:p>
        </w:tc>
        <w:tc>
          <w:tcPr>
            <w:tcW w:type="dxa" w:w="2100"/>
            <w:tcMar>
              <w:top w:w="90" w:type="dxa"/>
              <w:start w:w="120" w:type="dxa"/>
              <w:bottom w:w="90" w:type="dxa"/>
              <w:end w:w="120" w:type="dxa"/>
            </w:tcMar>
            <w:vAlign w:val="center"/>
          </w:tcPr>
          <w:p>
            <w:r>
              <w:t>Rechtliches und Einladungslinks</w:t>
            </w:r>
          </w:p>
        </w:tc>
        <w:tc>
          <w:tcPr>
            <w:tcW w:type="dxa" w:w="2800"/>
            <w:tcMar>
              <w:top w:w="90" w:type="dxa"/>
              <w:start w:w="120" w:type="dxa"/>
              <w:bottom w:w="90" w:type="dxa"/>
              <w:end w:w="120" w:type="dxa"/>
            </w:tcMar>
            <w:vAlign w:val="center"/>
          </w:tcPr>
          <w:p>
            <w:r>
              <w:t>Einladungstoken in Query-Parameter</w:t>
            </w:r>
          </w:p>
        </w:tc>
        <w:tc>
          <w:tcPr>
            <w:tcW w:type="dxa" w:w="2360"/>
            <w:tcMar>
              <w:top w:w="90" w:type="dxa"/>
              <w:start w:w="120" w:type="dxa"/>
              <w:bottom w:w="90" w:type="dxa"/>
              <w:end w:w="120" w:type="dxa"/>
            </w:tcMar>
            <w:vAlign w:val="center"/>
          </w:tcPr>
          <w:p>
            <w:r>
              <w:t>Webserver-Logs, Ablauf, Widerruf und Einmalnutzung klären</w:t>
            </w:r>
          </w:p>
        </w:tc>
      </w:tr>
    </w:tbl>
    <w:p>
      <w:pPr>
        <w:pStyle w:val="Heading1"/>
      </w:pPr>
      <w:r>
        <w:t>Funktionsbezogene Prüfergebnisse</w:t>
      </w:r>
    </w:p>
    <w:p>
      <w:pPr>
        <w:pStyle w:val="Heading2"/>
      </w:pPr>
      <w:r>
        <w:t>Berechtigungen</w:t>
      </w:r>
    </w:p>
    <w:p>
      <w:pPr>
        <w:pStyle w:val="ListBullet"/>
      </w:pPr>
      <w:r>
        <w:t>Kamera: Usage Description vorhanden; tatsächlichen Scan-Start und Ablehnungsfall auf realem Gerät prüfen.</w:t>
      </w:r>
    </w:p>
    <w:p>
      <w:pPr>
        <w:pStyle w:val="ListBullet"/>
      </w:pPr>
      <w:r>
        <w:t>Face ID: Usage Description vorhanden; Text ist nicht konsistent mit dem Store-Namen Tschlüssli.</w:t>
      </w:r>
    </w:p>
    <w:p>
      <w:pPr>
        <w:pStyle w:val="ListBullet"/>
      </w:pPr>
      <w:r>
        <w:t>Fotomediathek: selektiver PhotosPicker beim Import ist positiv; direkte Add-/ReadWrite-Abfragen beim Export müssen mit korrekten Texten abgeglichen werden.</w:t>
      </w:r>
    </w:p>
    <w:p>
      <w:pPr>
        <w:pStyle w:val="ListBullet"/>
      </w:pPr>
      <w:r>
        <w:t>Mitteilungen: kontextbezogener Ablauf vorhanden; Sperrbildschirmtext auf sensible Inhalte prüfen.</w:t>
      </w:r>
    </w:p>
    <w:p>
      <w:pPr>
        <w:pStyle w:val="Heading2"/>
      </w:pPr>
      <w:r>
        <w:t>Löschung</w:t>
      </w:r>
    </w:p>
    <w:p>
      <w:pPr>
        <w:pStyle w:val="ListBullet"/>
      </w:pPr>
      <w:r>
        <w:t>In-App-Löschoption ist leicht auffindbar und verlangt eine klare Bestätigung.</w:t>
      </w:r>
    </w:p>
    <w:p>
      <w:pPr>
        <w:pStyle w:val="ListBullet"/>
      </w:pPr>
      <w:r>
        <w:t>Viele registrierte SwiftData-Modelle werden gelöscht; Keychain-Konten und die jährliche Erinnerung werden entfernt.</w:t>
      </w:r>
    </w:p>
    <w:p>
      <w:pPr>
        <w:pStyle w:val="ListBullet"/>
      </w:pPr>
      <w:r>
        <w:t>Temporäre Exporte, Vorschauen und möglicherweise bereits geteilte Dateien können technisch nicht durch die bestehende Routine nachweislich erfasst werden.</w:t>
      </w:r>
    </w:p>
    <w:p>
      <w:pPr>
        <w:pStyle w:val="ListBullet"/>
      </w:pPr>
      <w:r>
        <w:t>Serverseitige Datenlöschung ist mangels prüfbarer Backend-Implementierung offen.</w:t>
      </w:r>
    </w:p>
    <w:p>
      <w:pPr>
        <w:pStyle w:val="Heading2"/>
      </w:pPr>
      <w:r>
        <w:t>Authentifizierung und Biometrie</w:t>
      </w:r>
    </w:p>
    <w:p>
      <w:pPr>
        <w:pStyle w:val="ListBullet"/>
      </w:pPr>
      <w:r>
        <w:t>Keychain-Implementierung nutzt eine angemessene Zugriffsklasse.</w:t>
      </w:r>
    </w:p>
    <w:p>
      <w:pPr>
        <w:pStyle w:val="ListBullet"/>
      </w:pPr>
      <w:r>
        <w:t>Der Sicherheitsgewinn wird durch parallele Klartextkopien in AppStorage und SwiftData aufgehoben.</w:t>
      </w:r>
    </w:p>
    <w:p>
      <w:pPr>
        <w:pStyle w:val="ListBullet"/>
      </w:pPr>
      <w:r>
        <w:t>Face ID wird über LocalAuthentication verwendet; der bekannte Lifecycle-Sonderfall wird im Routing berücksichtigt.</w:t>
      </w:r>
    </w:p>
    <w:p>
      <w:pPr>
        <w:pStyle w:val="ListBullet"/>
      </w:pPr>
      <w:r>
        <w:t>Ob überhaupt ein echtes serverseitiges Konto besteht, muss als Produktentscheidung geklärt werden.</w:t>
      </w:r>
    </w:p>
    <w:p>
      <w:pPr>
        <w:pStyle w:val="Heading2"/>
      </w:pPr>
      <w:r>
        <w:t>Dokumente und Export</w:t>
      </w:r>
    </w:p>
    <w:p>
      <w:pPr>
        <w:pStyle w:val="ListBullet"/>
      </w:pPr>
      <w:r>
        <w:t>Dokumente und Videos werden als Daten in SwiftData beziehungsweise externalStorage abgelegt.</w:t>
      </w:r>
    </w:p>
    <w:p>
      <w:pPr>
        <w:pStyle w:val="ListBullet"/>
      </w:pPr>
      <w:r>
        <w:t>Für Vorschau und Teilen werden Klartextdateien im temporären Verzeichnis erzeugt.</w:t>
      </w:r>
    </w:p>
    <w:p>
      <w:pPr>
        <w:pStyle w:val="ListBullet"/>
      </w:pPr>
      <w:r>
        <w:t>Dateinamen werden nur teilweise bereinigt; Schutzklasse, Lebensdauer und Löschung sind nicht zentralisiert.</w:t>
      </w:r>
    </w:p>
    <w:p>
      <w:pPr>
        <w:pStyle w:val="ListBullet"/>
      </w:pPr>
      <w:r>
        <w:t>Das Dossier kann Passwörter ausgeben; dies ist vor jeder externen Testverteilung zu entfernen.</w:t>
      </w:r>
    </w:p>
    <w:p>
      <w:pPr>
        <w:pStyle w:val="Heading1"/>
      </w:pPr>
      <w:r>
        <w:t>Offene Nachweise außerhalb des Repositories</w:t>
      </w:r>
    </w:p>
    <w:p>
      <w:pPr>
        <w:pStyle w:val="ListBullet"/>
      </w:pPr>
      <w:r>
        <w:t>Aktuelle Datenschutzerklärung mit direkter HTTPS-URL und Versionsstand</w:t>
      </w:r>
    </w:p>
    <w:p>
      <w:pPr>
        <w:pStyle w:val="ListBullet"/>
      </w:pPr>
      <w:r>
        <w:t>Nutzungsbedingungen und Impressum mit direkter URL</w:t>
      </w:r>
    </w:p>
    <w:p>
      <w:pPr>
        <w:pStyle w:val="ListBullet"/>
      </w:pPr>
      <w:r>
        <w:t>App-Store-Privacy-Antworten und gegebenenfalls Tracking-Angaben</w:t>
      </w:r>
    </w:p>
    <w:p>
      <w:pPr>
        <w:pStyle w:val="ListBullet"/>
      </w:pPr>
      <w:r>
        <w:t>Vercel-/Backend-Quellcode, Logging, Secrets, Zugriffsschutz und Löschkonzept</w:t>
      </w:r>
    </w:p>
    <w:p>
      <w:pPr>
        <w:pStyle w:val="ListBullet"/>
      </w:pPr>
      <w:r>
        <w:t>Verträge beziehungsweise Datenschutzbedingungen aller externen API-Anbieter</w:t>
      </w:r>
    </w:p>
    <w:p>
      <w:pPr>
        <w:pStyle w:val="ListBullet"/>
      </w:pPr>
      <w:r>
        <w:t>Serverstandorte und grenzüberschreitende Datenübermittlungen</w:t>
      </w:r>
    </w:p>
    <w:p>
      <w:pPr>
        <w:pStyle w:val="ListBullet"/>
      </w:pPr>
      <w:r>
        <w:t>AASA-Datei und Live-Funktion der Universal Links</w:t>
      </w:r>
    </w:p>
    <w:p>
      <w:pPr>
        <w:pStyle w:val="ListBullet"/>
      </w:pPr>
      <w:r>
        <w:t>Backup-Verhalten und Data-Protection-Klasse auf einem realen Gerät</w:t>
      </w:r>
    </w:p>
    <w:p>
      <w:pPr>
        <w:pStyle w:val="ListBullet"/>
      </w:pPr>
      <w:r>
        <w:t>Netzwerkmitschnitt eines vollständigen Testablaufs</w:t>
      </w:r>
    </w:p>
    <w:p>
      <w:pPr>
        <w:pStyle w:val="ListBullet"/>
      </w:pPr>
      <w:r>
        <w:t>TestFlight/App-Archiv einschließlich Privacy Report und Validierungsprotokoll</w:t>
      </w:r>
    </w:p>
    <w:p>
      <w:pPr>
        <w:pStyle w:val="Heading1"/>
      </w:pPr>
      <w:r>
        <w:t>Empfohlene Reihenfolge für Phase 2 und 3</w:t>
      </w:r>
    </w:p>
    <w:tbl>
      <w:tblPr>
        <w:tblStyle w:val="TableGrid"/>
        <w:tblW w:type="dxa" w:w="9360"/>
        <w:jc w:val="left"/>
        <w:tblLayout w:type="fixed"/>
        <w:tblLook w:firstColumn="1" w:firstRow="1" w:lastColumn="0" w:lastRow="0" w:noHBand="0" w:noVBand="1" w:val="04A0"/>
        <w:tblInd w:w="120" w:type="dxa"/>
      </w:tblPr>
      <w:tblGrid>
        <w:gridCol w:w="900"/>
        <w:gridCol w:w="2400"/>
        <w:gridCol w:w="6060"/>
      </w:tblGrid>
      <w:tr>
        <w:trPr>
          <w:tblHeader w:val="true"/>
        </w:trPr>
        <w:tc>
          <w:tcPr>
            <w:tcW w:type="dxa" w:w="900"/>
            <w:shd w:fill="2E6F73"/>
            <w:tcMar>
              <w:top w:w="90" w:type="dxa"/>
              <w:start w:w="120" w:type="dxa"/>
              <w:bottom w:w="90" w:type="dxa"/>
              <w:end w:w="120" w:type="dxa"/>
            </w:tcMar>
            <w:vAlign w:val="center"/>
          </w:tcPr>
          <w:p>
            <w:r>
              <w:rPr>
                <w:b/>
                <w:color w:val="FFFFFF"/>
              </w:rPr>
              <w:t>Schritt</w:t>
            </w:r>
          </w:p>
        </w:tc>
        <w:tc>
          <w:tcPr>
            <w:tcW w:type="dxa" w:w="2400"/>
            <w:shd w:fill="2E6F73"/>
            <w:tcMar>
              <w:top w:w="90" w:type="dxa"/>
              <w:start w:w="120" w:type="dxa"/>
              <w:bottom w:w="90" w:type="dxa"/>
              <w:end w:w="120" w:type="dxa"/>
            </w:tcMar>
            <w:vAlign w:val="center"/>
          </w:tcPr>
          <w:p>
            <w:r>
              <w:rPr>
                <w:b/>
                <w:color w:val="FFFFFF"/>
              </w:rPr>
              <w:t>Paket</w:t>
            </w:r>
          </w:p>
        </w:tc>
        <w:tc>
          <w:tcPr>
            <w:tcW w:type="dxa" w:w="6060"/>
            <w:shd w:fill="2E6F73"/>
            <w:tcMar>
              <w:top w:w="90" w:type="dxa"/>
              <w:start w:w="120" w:type="dxa"/>
              <w:bottom w:w="90" w:type="dxa"/>
              <w:end w:w="120" w:type="dxa"/>
            </w:tcMar>
            <w:vAlign w:val="center"/>
          </w:tcPr>
          <w:p>
            <w:r>
              <w:rPr>
                <w:b/>
                <w:color w:val="FFFFFF"/>
              </w:rPr>
              <w:t>Ergebnis</w:t>
            </w:r>
          </w:p>
        </w:tc>
      </w:tr>
      <w:tr>
        <w:trPr>
          <w:cantSplit w:val="true"/>
        </w:trPr>
        <w:tc>
          <w:tcPr>
            <w:tcW w:type="dxa" w:w="900"/>
            <w:tcMar>
              <w:top w:w="90" w:type="dxa"/>
              <w:start w:w="120" w:type="dxa"/>
              <w:bottom w:w="90" w:type="dxa"/>
              <w:end w:w="120" w:type="dxa"/>
            </w:tcMar>
            <w:vAlign w:val="center"/>
          </w:tcPr>
          <w:p>
            <w:r>
              <w:t>1</w:t>
            </w:r>
          </w:p>
        </w:tc>
        <w:tc>
          <w:tcPr>
            <w:tcW w:type="dxa" w:w="2400"/>
            <w:tcMar>
              <w:top w:w="90" w:type="dxa"/>
              <w:start w:w="120" w:type="dxa"/>
              <w:bottom w:w="90" w:type="dxa"/>
              <w:end w:w="120" w:type="dxa"/>
            </w:tcMar>
            <w:vAlign w:val="center"/>
          </w:tcPr>
          <w:p>
            <w:r>
              <w:t>Secret-Sofortmaßnahme</w:t>
            </w:r>
          </w:p>
        </w:tc>
        <w:tc>
          <w:tcPr>
            <w:tcW w:type="dxa" w:w="6060"/>
            <w:tcMar>
              <w:top w:w="90" w:type="dxa"/>
              <w:start w:w="120" w:type="dxa"/>
              <w:bottom w:w="90" w:type="dxa"/>
              <w:end w:w="120" w:type="dxa"/>
            </w:tcMar>
            <w:vAlign w:val="center"/>
          </w:tcPr>
          <w:p>
            <w:r>
              <w:t>Klartextpasswörter aus AppStorage, Profilmodellen, digitalen Konten und Exporten entfernen; Datenmigration definieren.</w:t>
            </w:r>
          </w:p>
        </w:tc>
      </w:tr>
      <w:tr>
        <w:trPr>
          <w:cantSplit w:val="true"/>
        </w:trPr>
        <w:tc>
          <w:tcPr>
            <w:tcW w:type="dxa" w:w="900"/>
            <w:tcMar>
              <w:top w:w="90" w:type="dxa"/>
              <w:start w:w="120" w:type="dxa"/>
              <w:bottom w:w="90" w:type="dxa"/>
              <w:end w:w="120" w:type="dxa"/>
            </w:tcMar>
            <w:vAlign w:val="center"/>
          </w:tcPr>
          <w:p>
            <w:r>
              <w:t>2</w:t>
            </w:r>
          </w:p>
        </w:tc>
        <w:tc>
          <w:tcPr>
            <w:tcW w:type="dxa" w:w="2400"/>
            <w:tcMar>
              <w:top w:w="90" w:type="dxa"/>
              <w:start w:w="120" w:type="dxa"/>
              <w:bottom w:w="90" w:type="dxa"/>
              <w:end w:w="120" w:type="dxa"/>
            </w:tcMar>
            <w:vAlign w:val="center"/>
          </w:tcPr>
          <w:p>
            <w:r>
              <w:t>Token- und Logging-Härtung</w:t>
            </w:r>
          </w:p>
        </w:tc>
        <w:tc>
          <w:tcPr>
            <w:tcW w:type="dxa" w:w="6060"/>
            <w:tcMar>
              <w:top w:w="90" w:type="dxa"/>
              <w:start w:w="120" w:type="dxa"/>
              <w:bottom w:w="90" w:type="dxa"/>
              <w:end w:w="120" w:type="dxa"/>
            </w:tcMar>
            <w:vAlign w:val="center"/>
          </w:tcPr>
          <w:p>
            <w:r>
              <w:t>Tokens nicht protokollieren; sichere Ablage, Ablauf, Einmalnutzung und Widerruf festlegen.</w:t>
            </w:r>
          </w:p>
        </w:tc>
      </w:tr>
      <w:tr>
        <w:trPr>
          <w:cantSplit w:val="true"/>
        </w:trPr>
        <w:tc>
          <w:tcPr>
            <w:tcW w:type="dxa" w:w="900"/>
            <w:tcMar>
              <w:top w:w="90" w:type="dxa"/>
              <w:start w:w="120" w:type="dxa"/>
              <w:bottom w:w="90" w:type="dxa"/>
              <w:end w:w="120" w:type="dxa"/>
            </w:tcMar>
            <w:vAlign w:val="center"/>
          </w:tcPr>
          <w:p>
            <w:r>
              <w:t>3</w:t>
            </w:r>
          </w:p>
        </w:tc>
        <w:tc>
          <w:tcPr>
            <w:tcW w:type="dxa" w:w="2400"/>
            <w:tcMar>
              <w:top w:w="90" w:type="dxa"/>
              <w:start w:w="120" w:type="dxa"/>
              <w:bottom w:w="90" w:type="dxa"/>
              <w:end w:w="120" w:type="dxa"/>
            </w:tcMar>
            <w:vAlign w:val="center"/>
          </w:tcPr>
          <w:p>
            <w:r>
              <w:t>IBAN-Datenfluss stoppen</w:t>
            </w:r>
          </w:p>
        </w:tc>
        <w:tc>
          <w:tcPr>
            <w:tcW w:type="dxa" w:w="6060"/>
            <w:tcMar>
              <w:top w:w="90" w:type="dxa"/>
              <w:start w:w="120" w:type="dxa"/>
              <w:bottom w:w="90" w:type="dxa"/>
              <w:end w:w="120" w:type="dxa"/>
            </w:tcMar>
            <w:vAlign w:val="center"/>
          </w:tcPr>
          <w:p>
            <w:r>
              <w:t>OpenIBAN-Aufruf bis zur Architektur- und Vertragsentscheidung deaktivieren oder lokal/über kontrolliertes Backend ersetzen.</w:t>
            </w:r>
          </w:p>
        </w:tc>
      </w:tr>
      <w:tr>
        <w:trPr>
          <w:cantSplit w:val="true"/>
        </w:trPr>
        <w:tc>
          <w:tcPr>
            <w:tcW w:type="dxa" w:w="900"/>
            <w:tcMar>
              <w:top w:w="90" w:type="dxa"/>
              <w:start w:w="120" w:type="dxa"/>
              <w:bottom w:w="90" w:type="dxa"/>
              <w:end w:w="120" w:type="dxa"/>
            </w:tcMar>
            <w:vAlign w:val="center"/>
          </w:tcPr>
          <w:p>
            <w:r>
              <w:t>4</w:t>
            </w:r>
          </w:p>
        </w:tc>
        <w:tc>
          <w:tcPr>
            <w:tcW w:type="dxa" w:w="2400"/>
            <w:tcMar>
              <w:top w:w="90" w:type="dxa"/>
              <w:start w:w="120" w:type="dxa"/>
              <w:bottom w:w="90" w:type="dxa"/>
              <w:end w:w="120" w:type="dxa"/>
            </w:tcMar>
            <w:vAlign w:val="center"/>
          </w:tcPr>
          <w:p>
            <w:r>
              <w:t>Dateischutz zentralisieren</w:t>
            </w:r>
          </w:p>
        </w:tc>
        <w:tc>
          <w:tcPr>
            <w:tcW w:type="dxa" w:w="6060"/>
            <w:tcMar>
              <w:top w:w="90" w:type="dxa"/>
              <w:start w:w="120" w:type="dxa"/>
              <w:bottom w:w="90" w:type="dxa"/>
              <w:end w:w="120" w:type="dxa"/>
            </w:tcMar>
            <w:vAlign w:val="center"/>
          </w:tcPr>
          <w:p>
            <w:r>
              <w:t>Temporäre Dateien mit Schutzklasse, eindeutiger Lebensdauer und zentraler Bereinigung verwalten.</w:t>
            </w:r>
          </w:p>
        </w:tc>
      </w:tr>
      <w:tr>
        <w:trPr>
          <w:cantSplit w:val="true"/>
        </w:trPr>
        <w:tc>
          <w:tcPr>
            <w:tcW w:type="dxa" w:w="900"/>
            <w:tcMar>
              <w:top w:w="90" w:type="dxa"/>
              <w:start w:w="120" w:type="dxa"/>
              <w:bottom w:w="90" w:type="dxa"/>
              <w:end w:w="120" w:type="dxa"/>
            </w:tcMar>
            <w:vAlign w:val="center"/>
          </w:tcPr>
          <w:p>
            <w:r>
              <w:t>5</w:t>
            </w:r>
          </w:p>
        </w:tc>
        <w:tc>
          <w:tcPr>
            <w:tcW w:type="dxa" w:w="2400"/>
            <w:tcMar>
              <w:top w:w="90" w:type="dxa"/>
              <w:start w:w="120" w:type="dxa"/>
              <w:bottom w:w="90" w:type="dxa"/>
              <w:end w:w="120" w:type="dxa"/>
            </w:tcMar>
            <w:vAlign w:val="center"/>
          </w:tcPr>
          <w:p>
            <w:r>
              <w:t>Datenschutzoberfläche</w:t>
            </w:r>
          </w:p>
        </w:tc>
        <w:tc>
          <w:tcPr>
            <w:tcW w:type="dxa" w:w="6060"/>
            <w:tcMar>
              <w:top w:w="90" w:type="dxa"/>
              <w:start w:w="120" w:type="dxa"/>
              <w:bottom w:w="90" w:type="dxa"/>
              <w:end w:w="120" w:type="dxa"/>
            </w:tcMar>
            <w:vAlign w:val="center"/>
          </w:tcPr>
          <w:p>
            <w:r>
              <w:t>Direkte Datenschutz-, Impressums- und Nutzungsbedingungen-Links sowie verständliche Permission-Texte einbauen.</w:t>
            </w:r>
          </w:p>
        </w:tc>
      </w:tr>
      <w:tr>
        <w:trPr>
          <w:cantSplit w:val="true"/>
        </w:trPr>
        <w:tc>
          <w:tcPr>
            <w:tcW w:type="dxa" w:w="900"/>
            <w:tcMar>
              <w:top w:w="90" w:type="dxa"/>
              <w:start w:w="120" w:type="dxa"/>
              <w:bottom w:w="90" w:type="dxa"/>
              <w:end w:w="120" w:type="dxa"/>
            </w:tcMar>
            <w:vAlign w:val="center"/>
          </w:tcPr>
          <w:p>
            <w:r>
              <w:t>6</w:t>
            </w:r>
          </w:p>
        </w:tc>
        <w:tc>
          <w:tcPr>
            <w:tcW w:type="dxa" w:w="2400"/>
            <w:tcMar>
              <w:top w:w="90" w:type="dxa"/>
              <w:start w:w="120" w:type="dxa"/>
              <w:bottom w:w="90" w:type="dxa"/>
              <w:end w:w="120" w:type="dxa"/>
            </w:tcMar>
            <w:vAlign w:val="center"/>
          </w:tcPr>
          <w:p>
            <w:r>
              <w:t>Manifest und Store-Angaben</w:t>
            </w:r>
          </w:p>
        </w:tc>
        <w:tc>
          <w:tcPr>
            <w:tcW w:type="dxa" w:w="6060"/>
            <w:tcMar>
              <w:top w:w="90" w:type="dxa"/>
              <w:start w:w="120" w:type="dxa"/>
              <w:bottom w:w="90" w:type="dxa"/>
              <w:end w:w="120" w:type="dxa"/>
            </w:tcMar>
            <w:vAlign w:val="center"/>
          </w:tcPr>
          <w:p>
            <w:r>
              <w:t>Privacy Manifest, Required-Reason-API-Prüfung und App-Store-Datenschutzlabel erstellen.</w:t>
            </w:r>
          </w:p>
        </w:tc>
      </w:tr>
      <w:tr>
        <w:trPr>
          <w:cantSplit w:val="true"/>
        </w:trPr>
        <w:tc>
          <w:tcPr>
            <w:tcW w:type="dxa" w:w="900"/>
            <w:tcMar>
              <w:top w:w="90" w:type="dxa"/>
              <w:start w:w="120" w:type="dxa"/>
              <w:bottom w:w="90" w:type="dxa"/>
              <w:end w:w="120" w:type="dxa"/>
            </w:tcMar>
            <w:vAlign w:val="center"/>
          </w:tcPr>
          <w:p>
            <w:r>
              <w:t>7</w:t>
            </w:r>
          </w:p>
        </w:tc>
        <w:tc>
          <w:tcPr>
            <w:tcW w:type="dxa" w:w="2400"/>
            <w:tcMar>
              <w:top w:w="90" w:type="dxa"/>
              <w:start w:w="120" w:type="dxa"/>
              <w:bottom w:w="90" w:type="dxa"/>
              <w:end w:w="120" w:type="dxa"/>
            </w:tcMar>
            <w:vAlign w:val="center"/>
          </w:tcPr>
          <w:p>
            <w:r>
              <w:t>Externe Nachweise</w:t>
            </w:r>
          </w:p>
        </w:tc>
        <w:tc>
          <w:tcPr>
            <w:tcW w:type="dxa" w:w="6060"/>
            <w:tcMar>
              <w:top w:w="90" w:type="dxa"/>
              <w:start w:w="120" w:type="dxa"/>
              <w:bottom w:w="90" w:type="dxa"/>
              <w:end w:w="120" w:type="dxa"/>
            </w:tcMar>
            <w:vAlign w:val="center"/>
          </w:tcPr>
          <w:p>
            <w:r>
              <w:t>Dienstleister, Verträge, Serverlogs, Löschfristen und Auslandsübermittlungen klären.</w:t>
            </w:r>
          </w:p>
        </w:tc>
      </w:tr>
      <w:tr>
        <w:trPr>
          <w:cantSplit w:val="true"/>
        </w:trPr>
        <w:tc>
          <w:tcPr>
            <w:tcW w:type="dxa" w:w="900"/>
            <w:tcMar>
              <w:top w:w="90" w:type="dxa"/>
              <w:start w:w="120" w:type="dxa"/>
              <w:bottom w:w="90" w:type="dxa"/>
              <w:end w:w="120" w:type="dxa"/>
            </w:tcMar>
            <w:vAlign w:val="center"/>
          </w:tcPr>
          <w:p>
            <w:r>
              <w:t>8</w:t>
            </w:r>
          </w:p>
        </w:tc>
        <w:tc>
          <w:tcPr>
            <w:tcW w:type="dxa" w:w="2400"/>
            <w:tcMar>
              <w:top w:w="90" w:type="dxa"/>
              <w:start w:w="120" w:type="dxa"/>
              <w:bottom w:w="90" w:type="dxa"/>
              <w:end w:w="120" w:type="dxa"/>
            </w:tcMar>
            <w:vAlign w:val="center"/>
          </w:tcPr>
          <w:p>
            <w:r>
              <w:t>Geräte- und Archivtest</w:t>
            </w:r>
          </w:p>
        </w:tc>
        <w:tc>
          <w:tcPr>
            <w:tcW w:type="dxa" w:w="6060"/>
            <w:tcMar>
              <w:top w:w="90" w:type="dxa"/>
              <w:start w:w="120" w:type="dxa"/>
              <w:bottom w:w="90" w:type="dxa"/>
              <w:end w:w="120" w:type="dxa"/>
            </w:tcMar>
            <w:vAlign w:val="center"/>
          </w:tcPr>
          <w:p>
            <w:r>
              <w:t>Data Protection, Backup, Netzwerkverkehr, Löschung und Xcode-Archiv praktisch validieren.</w:t>
            </w:r>
          </w:p>
        </w:tc>
      </w:tr>
    </w:tbl>
    <w:p>
      <w:pPr>
        <w:pStyle w:val="Heading1"/>
      </w:pPr>
      <w:r>
        <w:t>Abnahmekriterien für Phase 1</w:t>
      </w:r>
    </w:p>
    <w:tbl>
      <w:tblPr>
        <w:tblStyle w:val="TableGrid"/>
        <w:tblW w:type="dxa" w:w="9360"/>
        <w:jc w:val="left"/>
        <w:tblLayout w:type="fixed"/>
        <w:tblLook w:firstColumn="1" w:firstRow="1" w:lastColumn="0" w:lastRow="0" w:noHBand="0" w:noVBand="1" w:val="04A0"/>
        <w:tblInd w:w="120" w:type="dxa"/>
      </w:tblPr>
      <w:tblGrid>
        <w:gridCol w:w="1500"/>
        <w:gridCol w:w="7860"/>
      </w:tblGrid>
      <w:tr>
        <w:trPr>
          <w:tblHeader w:val="true"/>
        </w:trPr>
        <w:tc>
          <w:tcPr>
            <w:tcW w:type="dxa" w:w="1500"/>
            <w:shd w:fill="2E6F73"/>
            <w:tcMar>
              <w:top w:w="90" w:type="dxa"/>
              <w:start w:w="120" w:type="dxa"/>
              <w:bottom w:w="90" w:type="dxa"/>
              <w:end w:w="120" w:type="dxa"/>
            </w:tcMar>
            <w:vAlign w:val="center"/>
          </w:tcPr>
          <w:p>
            <w:r>
              <w:rPr>
                <w:b/>
                <w:color w:val="FFFFFF"/>
              </w:rPr>
              <w:t>Status</w:t>
            </w:r>
          </w:p>
        </w:tc>
        <w:tc>
          <w:tcPr>
            <w:tcW w:type="dxa" w:w="7860"/>
            <w:shd w:fill="2E6F73"/>
            <w:tcMar>
              <w:top w:w="90" w:type="dxa"/>
              <w:start w:w="120" w:type="dxa"/>
              <w:bottom w:w="90" w:type="dxa"/>
              <w:end w:w="120" w:type="dxa"/>
            </w:tcMar>
            <w:vAlign w:val="center"/>
          </w:tcPr>
          <w:p>
            <w:r>
              <w:rPr>
                <w:b/>
                <w:color w:val="FFFFFF"/>
              </w:rPr>
              <w:t>Kriterium</w:t>
            </w:r>
          </w:p>
        </w:tc>
      </w:tr>
      <w:tr>
        <w:trPr>
          <w:cantSplit w:val="true"/>
        </w:trPr>
        <w:tc>
          <w:tcPr>
            <w:tcW w:type="dxa" w:w="1500"/>
            <w:tcMar>
              <w:top w:w="90" w:type="dxa"/>
              <w:start w:w="120" w:type="dxa"/>
              <w:bottom w:w="90" w:type="dxa"/>
              <w:end w:w="120" w:type="dxa"/>
            </w:tcMar>
            <w:vAlign w:val="center"/>
          </w:tcPr>
          <w:p>
            <w:r>
              <w:t>Erfüllt</w:t>
            </w:r>
          </w:p>
        </w:tc>
        <w:tc>
          <w:tcPr>
            <w:tcW w:type="dxa" w:w="7860"/>
            <w:tcMar>
              <w:top w:w="90" w:type="dxa"/>
              <w:start w:w="120" w:type="dxa"/>
              <w:bottom w:w="90" w:type="dxa"/>
              <w:end w:w="120" w:type="dxa"/>
            </w:tcMar>
            <w:vAlign w:val="center"/>
          </w:tcPr>
          <w:p>
            <w:r>
              <w:t>Prüfumfang und Grenzen dokumentiert</w:t>
            </w:r>
          </w:p>
        </w:tc>
      </w:tr>
      <w:tr>
        <w:trPr>
          <w:cantSplit w:val="true"/>
        </w:trPr>
        <w:tc>
          <w:tcPr>
            <w:tcW w:type="dxa" w:w="1500"/>
            <w:tcMar>
              <w:top w:w="90" w:type="dxa"/>
              <w:start w:w="120" w:type="dxa"/>
              <w:bottom w:w="90" w:type="dxa"/>
              <w:end w:w="120" w:type="dxa"/>
            </w:tcMar>
            <w:vAlign w:val="center"/>
          </w:tcPr>
          <w:p>
            <w:r>
              <w:t>Erfüllt</w:t>
            </w:r>
          </w:p>
        </w:tc>
        <w:tc>
          <w:tcPr>
            <w:tcW w:type="dxa" w:w="7860"/>
            <w:tcMar>
              <w:top w:w="90" w:type="dxa"/>
              <w:start w:w="120" w:type="dxa"/>
              <w:bottom w:w="90" w:type="dxa"/>
              <w:end w:w="120" w:type="dxa"/>
            </w:tcMar>
            <w:vAlign w:val="center"/>
          </w:tcPr>
          <w:p>
            <w:r>
              <w:t>Datenkategorien und externe Dienste vorläufig inventarisiert</w:t>
            </w:r>
          </w:p>
        </w:tc>
      </w:tr>
      <w:tr>
        <w:trPr>
          <w:cantSplit w:val="true"/>
        </w:trPr>
        <w:tc>
          <w:tcPr>
            <w:tcW w:type="dxa" w:w="1500"/>
            <w:tcMar>
              <w:top w:w="90" w:type="dxa"/>
              <w:start w:w="120" w:type="dxa"/>
              <w:bottom w:w="90" w:type="dxa"/>
              <w:end w:w="120" w:type="dxa"/>
            </w:tcMar>
            <w:vAlign w:val="center"/>
          </w:tcPr>
          <w:p>
            <w:r>
              <w:t>Erfüllt</w:t>
            </w:r>
          </w:p>
        </w:tc>
        <w:tc>
          <w:tcPr>
            <w:tcW w:type="dxa" w:w="7860"/>
            <w:tcMar>
              <w:top w:w="90" w:type="dxa"/>
              <w:start w:w="120" w:type="dxa"/>
              <w:bottom w:w="90" w:type="dxa"/>
              <w:end w:w="120" w:type="dxa"/>
            </w:tcMar>
            <w:vAlign w:val="center"/>
          </w:tcPr>
          <w:p>
            <w:r>
              <w:t>Befunde mit Priorität und Code-Nachweis dokumentiert</w:t>
            </w:r>
          </w:p>
        </w:tc>
      </w:tr>
      <w:tr>
        <w:trPr>
          <w:cantSplit w:val="true"/>
        </w:trPr>
        <w:tc>
          <w:tcPr>
            <w:tcW w:type="dxa" w:w="1500"/>
            <w:tcMar>
              <w:top w:w="90" w:type="dxa"/>
              <w:start w:w="120" w:type="dxa"/>
              <w:bottom w:w="90" w:type="dxa"/>
              <w:end w:w="120" w:type="dxa"/>
            </w:tcMar>
            <w:vAlign w:val="center"/>
          </w:tcPr>
          <w:p>
            <w:r>
              <w:t>Erfüllt</w:t>
            </w:r>
          </w:p>
        </w:tc>
        <w:tc>
          <w:tcPr>
            <w:tcW w:type="dxa" w:w="7860"/>
            <w:tcMar>
              <w:top w:w="90" w:type="dxa"/>
              <w:start w:w="120" w:type="dxa"/>
              <w:bottom w:w="90" w:type="dxa"/>
              <w:end w:w="120" w:type="dxa"/>
            </w:tcMar>
            <w:vAlign w:val="center"/>
          </w:tcPr>
          <w:p>
            <w:r>
              <w:t>Positive Kontrollen und bestehende Grundlagen dokumentiert</w:t>
            </w:r>
          </w:p>
        </w:tc>
      </w:tr>
      <w:tr>
        <w:trPr>
          <w:cantSplit w:val="true"/>
        </w:trPr>
        <w:tc>
          <w:tcPr>
            <w:tcW w:type="dxa" w:w="1500"/>
            <w:tcMar>
              <w:top w:w="90" w:type="dxa"/>
              <w:start w:w="120" w:type="dxa"/>
              <w:bottom w:w="90" w:type="dxa"/>
              <w:end w:w="120" w:type="dxa"/>
            </w:tcMar>
            <w:vAlign w:val="center"/>
          </w:tcPr>
          <w:p>
            <w:r>
              <w:t>Erfüllt</w:t>
            </w:r>
          </w:p>
        </w:tc>
        <w:tc>
          <w:tcPr>
            <w:tcW w:type="dxa" w:w="7860"/>
            <w:tcMar>
              <w:top w:w="90" w:type="dxa"/>
              <w:start w:w="120" w:type="dxa"/>
              <w:bottom w:w="90" w:type="dxa"/>
              <w:end w:w="120" w:type="dxa"/>
            </w:tcMar>
            <w:vAlign w:val="center"/>
          </w:tcPr>
          <w:p>
            <w:r>
              <w:t>Offene externe Nachweise separat ausgewiesen</w:t>
            </w:r>
          </w:p>
        </w:tc>
      </w:tr>
      <w:tr>
        <w:trPr>
          <w:cantSplit w:val="true"/>
        </w:trPr>
        <w:tc>
          <w:tcPr>
            <w:tcW w:type="dxa" w:w="1500"/>
            <w:tcMar>
              <w:top w:w="90" w:type="dxa"/>
              <w:start w:w="120" w:type="dxa"/>
              <w:bottom w:w="90" w:type="dxa"/>
              <w:end w:w="120" w:type="dxa"/>
            </w:tcMar>
            <w:vAlign w:val="center"/>
          </w:tcPr>
          <w:p>
            <w:r>
              <w:t>Offen</w:t>
            </w:r>
          </w:p>
        </w:tc>
        <w:tc>
          <w:tcPr>
            <w:tcW w:type="dxa" w:w="7860"/>
            <w:tcMar>
              <w:top w:w="90" w:type="dxa"/>
              <w:start w:w="120" w:type="dxa"/>
              <w:bottom w:w="90" w:type="dxa"/>
              <w:end w:w="120" w:type="dxa"/>
            </w:tcMar>
            <w:vAlign w:val="center"/>
          </w:tcPr>
          <w:p>
            <w:r>
              <w:t>Bericht durch Product Owner bestätigt</w:t>
            </w:r>
          </w:p>
        </w:tc>
      </w:tr>
      <w:tr>
        <w:trPr>
          <w:cantSplit w:val="true"/>
        </w:trPr>
        <w:tc>
          <w:tcPr>
            <w:tcW w:type="dxa" w:w="1500"/>
            <w:tcMar>
              <w:top w:w="90" w:type="dxa"/>
              <w:start w:w="120" w:type="dxa"/>
              <w:bottom w:w="90" w:type="dxa"/>
              <w:end w:w="120" w:type="dxa"/>
            </w:tcMar>
            <w:vAlign w:val="center"/>
          </w:tcPr>
          <w:p>
            <w:r>
              <w:t>Offen</w:t>
            </w:r>
          </w:p>
        </w:tc>
        <w:tc>
          <w:tcPr>
            <w:tcW w:type="dxa" w:w="7860"/>
            <w:tcMar>
              <w:top w:w="90" w:type="dxa"/>
              <w:start w:w="120" w:type="dxa"/>
              <w:bottom w:w="90" w:type="dxa"/>
              <w:end w:w="120" w:type="dxa"/>
            </w:tcMar>
            <w:vAlign w:val="center"/>
          </w:tcPr>
          <w:p>
            <w:r>
              <w:t>Start der Sofortmaßnahmen P0 freigegeben</w:t>
            </w:r>
          </w:p>
        </w:tc>
      </w:tr>
    </w:tbl>
    <w:p>
      <w:pPr>
        <w:pStyle w:val="Heading1"/>
      </w:pPr>
      <w:r>
        <w:t>Quellenbasis</w:t>
      </w:r>
    </w:p>
    <w:p>
      <w:r>
        <w:t>Interne Nachweise</w:t>
      </w:r>
    </w:p>
    <w:p>
      <w:pPr>
        <w:pStyle w:val="ListBullet"/>
      </w:pPr>
      <w:r>
        <w:t>Xcode-Projekt und Swift-Dateien unter /Users/reneengeler/AfterLife, statisch geprüft am 17. Juli 2026.</w:t>
      </w:r>
    </w:p>
    <w:p>
      <w:r>
        <w:t>Offizielle Apple-Grundlagen</w:t>
      </w:r>
    </w:p>
    <w:p>
      <w:pPr>
        <w:pStyle w:val="ListBullet"/>
      </w:pPr>
      <w:r>
        <w:t>Apple App Review Guidelines: https://developer.apple.com/app-store/review/guidelines/</w:t>
      </w:r>
    </w:p>
    <w:p>
      <w:pPr>
        <w:pStyle w:val="ListBullet"/>
      </w:pPr>
      <w:r>
        <w:t>Apple – Manage app privacy: https://developer.apple.com/help/app-store-connect/manage-app-information/manage-app-privacy</w:t>
      </w:r>
    </w:p>
    <w:p>
      <w:pPr>
        <w:pStyle w:val="ListBullet"/>
      </w:pPr>
      <w:r>
        <w:t>Apple – Offering account deletion: https://developer.apple.com/support/offering-account-deletion-in-your-app</w:t>
      </w:r>
    </w:p>
    <w:p>
      <w:pPr>
        <w:pStyle w:val="ListBullet"/>
      </w:pPr>
      <w:r>
        <w:t>Apple – Privacy manifests: https://developer.apple.com/documentation/bundleresources/adding-a-privacy-manifest-to-your-app-or-third-party-sdk</w:t>
      </w:r>
    </w:p>
    <w:p>
      <w:pPr>
        <w:pStyle w:val="ListBullet"/>
      </w:pPr>
      <w:r>
        <w:t>Apple – Using the Keychain: https://developer.apple.com/documentation/security/using-the-keychain-to-manage-user-secrets</w:t>
      </w:r>
    </w:p>
    <w:sectPr w:rsidR="00FC693F" w:rsidRPr="0006063C" w:rsidSect="00034616">
      <w:headerReference w:type="default" r:id="rId9"/>
      <w:footerReference w:type="default" r:id="rId10"/>
      <w:pgSz w:w="12240" w:h="15840"/>
      <w:pgMar w:top="1152" w:right="1440" w:bottom="1152"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668"/>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C6668"/>
        <w:sz w:val="17"/>
      </w:rPr>
      <w:t>TSCHLÜSSLI  |  Datenschutz- und Sicherheitsprüfung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025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2E6F73"/>
      <w:sz w:val="3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2E6F7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F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73F4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Calibri" w:hAnsi="Calibri"/>
      <w:b w:val="0"/>
      <w:i/>
      <w:iCs/>
      <w:color w:val="5C666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276"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