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0"/>
          <w:szCs w:val="40"/>
        </w:rPr>
        <w:t xml:space="preserve">Гайд по перерисовке диаграмм для ВКР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Все 12 рисунков работы — что показать на каждой диаграмме и как сделать в draw.io</w:t>
      </w:r>
    </w:p>
    <w:p>
      <w:pPr>
        <w:pStyle w:val="Heading1"/>
        <w:spacing w:after="200" w:before="0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0. Кратко: суть гайда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этом документе по каждой из 12 диаграмм работы расписано: что показать (элементы и связи), какой вид нотации использовать, какой инструмент удобнее, какие цвета взять, и есть ли уже исходник у вас в папке Диаграммы. К документу прилагаются мои черновые SVG-файлы в папке «Диаграммы_наброски» — их можно открыть в draw.io и перерисовать поверх в нужном стиле.</w:t>
      </w:r>
    </w:p>
    <w:p>
      <w:pPr>
        <w:shd w:fill="FFF7E0" w:val="clear"/>
        <w:spacing w:after="80" w:before="80" w:line="320" w:lineRule="auto"/>
        <w:jc w:val="both"/>
      </w:pPr>
      <w:r>
        <w:rPr>
          <w:rFonts w:ascii="Times New Roman" w:cs="Times New Roman" w:eastAsia="Times New Roman" w:hAnsi="Times New Roman"/>
          <w:i/>
          <w:iCs/>
          <w:color w:val="8A6300"/>
          <w:sz w:val="24"/>
          <w:szCs w:val="24"/>
        </w:rPr>
        <w:t xml:space="preserve">Важное замечание: ваши существующие файлы (Use_case.drawio, ER-диаграмма.drawio, Диаграмма активности .drawio, БД_картинка.drawio, ARCHI.archimate) сделаны для старой версии проекта — там фигурируют сущности Purchase, Supplier, Stock, BatchNumber. Текущий код перешёл к подбору блюд и содержит сущности Dish, DishProduct, DishCategoryRequirement, FavouriteProduct, FavouriteDish и поля КБЖУ у Product. При перерисовке используйте список сущностей и логику из этого гайда, не из старых .drawio-файлов.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1. Инструменты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B97"/>
          <w:sz w:val="30"/>
          <w:szCs w:val="30"/>
        </w:rPr>
        <w:t xml:space="preserve">1.1. Основной — draw.io (он же diagrams.net)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Бесплатный онлайн- и desktop-редактор. Поддерживает BPMN, UML (use case, sequence, class, component, activity), ER, archimate. Файлы в формате .drawio (XML, можно версионировать в git).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Веб-версия: https://app.diagrams.net (открывается прямо в браузере, ничего ставить не надо)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Desktop-версия для macOS: brew install --cask drawio (после установки доступна через Spotlight как «draw.io»)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уже стоит — открыть «Файл → Открыть» и выбрать .drawio из папки или мой .svg из «Диаграммы_наброски».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B97"/>
          <w:sz w:val="30"/>
          <w:szCs w:val="30"/>
        </w:rPr>
        <w:t xml:space="preserve">1.2. Альтернативы по типам диаграмм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BPMN: bpmn.io (https://demo.bpmn.io) — специализированный редактор именно под BPMN. Он строже draw.io по нотации (правильные шлюзы, события данных и т.д.)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UML: PlantUML (https://plantuml.com) — диаграммы по тексту. Удобно для sequence-диаграмм. Скрипт PlantUML потом конвертируется в PNG/SVG.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ER: dbdiagram.io (https://dbdiagram.io) — ER по DBML-описанию (у вас уже есть «Логическая схема базы данных.txt» — он в DBML-синтаксисе, можно прямо вставить)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Чарты (Precision/Recall, гистограммы): можно нарисовать в Excel или взять matplotlib/Python для реальных данных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B97"/>
          <w:sz w:val="30"/>
          <w:szCs w:val="30"/>
        </w:rPr>
        <w:t xml:space="preserve">1.3. Рабочий процесс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Открыть draw.io, создать новый файл.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File → Import → SVG/PNG → выбрать мой набросок из папки Диаграммы_наброски — он подгрузится как фон или редактируемый объект.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новые правильные элементы по моему наброску. Использовать стандартные shapes draw.io из соответствующей категории.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Когда готово — File → Export as → PNG (масштаб 2x, прозрачный фон — выкл, цвет — белый) или SVG. Сохранить как fig_X_Y.png.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Вставить в Основа.docx через Вставка → Рисунок → Из файла. В презентацию — через Вставка → Изображение.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2. Общая шпаргалка по нотациям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B97"/>
          <w:sz w:val="30"/>
          <w:szCs w:val="30"/>
        </w:rPr>
        <w:t xml:space="preserve">2.1. BPMN — для бизнес-процессов As-Is и To-Be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Дорожки (lanes/pools): кто выполняет действия (Пользователь / Информационная система / Данные).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Стартовое событие (зелёный кружок) — начало процесса.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Завершающее событие (красный кружок с толстой обводкой) — конец процесса.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Задача (прямоугольник со скруглёнными углами) — действие.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Шлюз (жёлтый ромб) — условие/ветвление. Чаще всего «эксклюзивный» (X внутри) — да/нет.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 данных (документ-листок) — что читается/пишется.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Поток последовательности (сплошная стрелка) — порядок шагов в одной дорожке.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Поток сообщений (пунктирная стрелка) — обмен между дорожками.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B97"/>
          <w:sz w:val="30"/>
          <w:szCs w:val="30"/>
        </w:rPr>
        <w:t xml:space="preserve">2.2. UML Sequence — последовательность вызовов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Жизненные линии (lifelines) — вертикальные пунктирные линии для каждого участника (Vue, Go Handler, Service, Python, PostgreSQL).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Активации (тонкие вертикальные прямоугольники на жизненной линии) — когда участник «работает».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Сплошные стрелки — синхронные вызовы (request).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Пунктирные стрелки — возвраты значений (response).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Note (жёлтый прямоугольник) — комментарий, что внутри происходит.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Alt / loop / opt — комбинированные фрагменты, рамка с подписью.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B97"/>
          <w:sz w:val="30"/>
          <w:szCs w:val="30"/>
        </w:rPr>
        <w:t xml:space="preserve">2.3. UML Class / Component — структура кода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 (прямоугольник с 3 секциями: имя, поля, методы).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 (прямоугольник с маленьким значком компонента в углу).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Пакет (большой прямоугольник, охватывающий несколько компонентов).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Сплошная стрелка с пустым треугольником на конце — наследование.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Сплошная стрелка обычная — ассоциация / зависимость.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Пунктирная стрелка — слабая зависимость / use.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Шарик-розетка (lollipop) — предоставляемый интерфейс.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B97"/>
          <w:sz w:val="30"/>
          <w:szCs w:val="30"/>
        </w:rPr>
        <w:t xml:space="preserve">2.4. ER-диаграмма — структура БД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Сущность — прямоугольник с шапкой (название) и списком атрибутов.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PK (Primary Key) — выделить bold или подчеркнуть.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FK (Foreign Key) — выделить курсивом или префиксом «FK». Указать, на что ссылается.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UQ (Unique) — отдельной пометкой.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Связь — линия с «crow's foot»: одна «лапка» (трёхзубец) = «много», вертикальная палка = «один». Например 1:N означает с одной стороны 1, с другой N.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3. Спецификация всех 12 диаграмм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Ниже по каждому рисунку: где используется, что показывает, какие элементы должны быть, рекомендуемая нотация и инструмент. Ссылки на мои наброски — это файлы в папке «Диаграммы_наброски» (fig_X_Y.svg).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3.1. Список диаграмм с привязкой к разделам Основы и слайдам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000"/>
        <w:gridCol w:w="20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Где используется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Инструмент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Схема информационных разрывов в процессе формирования рациона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Глава 1.2 Основы (после Таблицы 1.1) + используется как иллюстрация во вступительной части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draw.io (Flowchart)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Граф отношений предпочтения для категории «Молочные продукты»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Глава 1.4.4 Основы; слайд 5 презентации.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draw.io (UML / Graph)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BPMN «As-Is» — текущий процесс онлайн-покупки продуктов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Глава 2.1.1 Основы.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bpmn.io или draw.io (BPMN)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BPMN «To-Be» — целевой процесс с интеллектуальным подбором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Глава 2.1.2 Основы; косвенно слайд 4.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bpmn.io или draw.io (BPMN)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Общая архитектурная схема информационной системы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Глава 2.3.1 Основы; слайд 6 презентации.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draw.io (UML Deployment / Custom)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ER-диаграмма базы данных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Глава 2.3.2 + глава 3.1 Основы.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dbdiagram.io (рекомендую — у вас уже есть DBML в Логическая схема.txt) или draw.io (Entity Relation)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Sequence: подбор блюд по корзине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Глава 2.3.3 + глава 3.4.1 Основы.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draw.io (UML Sequence) или PlantUML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Компонентная диаграмма серверной части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Глава 2.3.4 + глава 3.2 Основы.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draw.io (UML Component)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Структура клиентского приложения (Vue 3 SPA)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Глава 3.3 Основы (после Рисунка 2.6).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draw.io (Custom flow)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Sequence: гибридная рекомендация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Глава 3.4.3 Основы; слайд 7 презентации.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draw.io (UML Sequence) или PlantUML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Зависимость Precision@K и Recall@K от 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Глава 4.1.5 / 4.2 Основы; слайд 8 презентации.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matplotlib / Excel / draw.io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Гистограммы долей белков, жиров и углеводов в корзине до и после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Глава 4.2.4 Основы.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matplotlib / Excel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B97"/>
          <w:sz w:val="30"/>
          <w:szCs w:val="30"/>
        </w:rPr>
        <w:t xml:space="preserve">Рисунок 1.1 — Схема информационных разрывов в процессе формирования рациона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Где используется: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Глава 1.2 Основы (после Таблицы 1.1) + используется как иллюстрация во вступительной части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Инструмент: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draw.io (Flowchart)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Мой набросок: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Диаграммы_наброски/fig_1_1.svg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Назначение: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Показать, что существующие сервисы не закрывают цикл «потребность пользователя → каталог → корзина → учёт КБЖУ». Между этими этапами есть разрывы.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6"/>
          <w:szCs w:val="26"/>
        </w:rPr>
        <w:t xml:space="preserve">Какие элементы должны быть на рисунке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 прямоугольника в ряд (слева направо): «Потребность пользователя (нормы КБЖУ)» → «Каталог e-grocery (без учёта КБЖУ)» → «Корзина и оформление (ручной контроль)» → «Учёт КБЖУ (фитнес-трекер) — после потребления».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ними тонкие стрелки потока.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красные пунктирные «молнии» с подписями: «Разрыв 1: каталог не знает о потребностях», «Разрыв 2: корзина не сверяется с КБЖУ при покупке», «Разрыв 3: контроль постфактум».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Внизу выделенная цветом плашка-вывод: «Целевое решение — устранить все три разрыва за счёт интеграции расчёта КБЖУ и подбора блюд непосредственно в каталог и корзину».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Цветовая палитра: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Серый базовый фон блоков, красная пунктирная для разрывов, светло-жёлтый блок-вывод с тёмно-коричневой обводкой.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B97"/>
          <w:sz w:val="30"/>
          <w:szCs w:val="30"/>
        </w:rPr>
        <w:t xml:space="preserve">Рисунок 1.2 — Граф отношений предпочтения для категории «Молочные продукты»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Где используется: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Глава 1.4.4 Основы; слайд 5 презентации.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Инструмент: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draw.io (UML / Graph)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Мой набросок: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Диаграммы_наброски/fig_1_2.svg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Назначение: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Показать пример формальных отношений P (строгое), I (безразличие), R (нестрогое) на примере молочных продуктов.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6"/>
          <w:szCs w:val="26"/>
        </w:rPr>
        <w:t xml:space="preserve">Какие элементы должны быть на рисунке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 узлов-овалов: Цельное молоко (3,2% жирн.) · Безлактозное молоко (3,2% жирн.) · Растительное «молоко» (овс.) · Йогурт натур. (2% жирн.) · Йогурт с сахаром.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Цветные подписанные стрелки: P (зелёная сплошная), I (серая пунктирная), R (оранжевая).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Красная рамка вокруг «Йогурт с сахаром» с подписью «Запрет (диета)» — иллюстрация жёсткого ограничения.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Снизу легенда с расшифровкой обозначений.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Цветовая палитра: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 = зелёный (#1f8a40), I = серый (#888), R = оранжевый (#d35400), запрет = красный (#c0392b).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B97"/>
          <w:sz w:val="30"/>
          <w:szCs w:val="30"/>
        </w:rPr>
        <w:t xml:space="preserve">Рисунок 2.1 — BPMN «As-Is» — текущий процесс онлайн-покупки продуктов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Где используется: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Глава 2.1.1 Основы.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Инструмент: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bpmn.io или draw.io (BPMN)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Мой набросок: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Диаграммы_наброски/fig_2_1.svg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Назначение: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Показать «как есть»: пользователь сам выбирает товары без какой-либо помощи системы по КБЖУ.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6"/>
          <w:szCs w:val="26"/>
        </w:rPr>
        <w:t xml:space="preserve">Какие элементы должны быть на рисунке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Две дорожки (pool с lanes): «Пользователь» и «Сервис e-grocery».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Поток в дорожке «Пользователь»: Стартовое событие «Открыть сервис» → задача «Просмотреть каталог» → «Выбрать товары» → «Оформить заказ» → «Оплатить и получить» → конечное событие.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Поток в дорожке «Сервис»: «Отдать список товаров» → «Принять заказ» → «Доставить».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Сообщения между дорожками (пунктирные стрелки от пользовательских задач к серверным).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Внизу плашка с пояснением: «В процессе нет шагов "расчёт КБЖУ корзины" и "подбор блюд"».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Цветовая палитра: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Стандартные цвета BPMN: задачи светло-голубые, шлюзы жёлтые, события зелёные/красные.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B97"/>
          <w:sz w:val="30"/>
          <w:szCs w:val="30"/>
        </w:rPr>
        <w:t xml:space="preserve">Рисунок 2.2 — BPMN «To-Be» — целевой процесс с интеллектуальным подбором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Где используется: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Глава 2.1.2 Основы; косвенно слайд 4.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Инструмент: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bpmn.io или draw.io (BPMN)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Мой набросок: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Диаграммы_наброски/fig_2_2.svg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Назначение: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Показать «как должно быть»: при изменении корзины система автоматически считает КБЖУ, подбирает блюда и предлагает недостающие ингредиенты.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6"/>
          <w:szCs w:val="26"/>
        </w:rPr>
        <w:t xml:space="preserve">Какие элементы должны быть на рисунке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 дорожки: «Пользователь», «Информационная система», «Данные» (PostgreSQL/MongoDB).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дорожке «Пользователь»: Старт → «Положить товар» → шлюз «Корзина пуста?» → ветвь «нет» → «Принять подсказки» → «Сделать правки в корзине» → шлюз «Готов к заказу?» → «Оформить заказ» → Конец.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дорожке «Информационная система» (зелёные блоки — новые шаги): «Рассчитать КБЖУ корзины» → «Подобрать блюда по составу корзины» → «Сформировать список недостающих ингредиентов» → «Гибридный скоринг персональных товаров» → «Вернуть рекомендации».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 каждым автоматическим блоком — пояснение метода: scoreDishByCategories, normalizeIngredientKey, nutritionScore = 50·balance + 50·calFit, TruncatedSVD через Python.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дорожке «Данные» — 6 объектов данных (формы документа со скруглённым углом): Корзина (localStorage), Каталог блюд (Dish + DishProduct), Каталог товаров (Product), История (orders, order_items), Избранное (favourite_products), Целевые нормы (КБЖУ 25/30/45%).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Поток сообщений (зелёный пунктир) показывает: от шлюза «не пусто» в систему, от системы обратно «JSON с блюдами и товарами» к задаче «Принять подсказки».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Цветовая палитра: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Стандартные BPMN-цвета + зелёные блоки для новых автоматических задач.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B97"/>
          <w:sz w:val="30"/>
          <w:szCs w:val="30"/>
        </w:rPr>
        <w:t xml:space="preserve">Рисунок 2.3 — Общая архитектурная схема информационной системы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Где используется: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Глава 2.3.1 Основы; слайд 6 презентации.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Инструмент: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draw.io (UML Deployment / Custom)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Мой набросок: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Диаграммы_наброски/fig_2_3.svg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Назначение: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Показать все уровни системы: пользователь → клиент → сервер → хранилище + аналитика.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6"/>
          <w:szCs w:val="26"/>
        </w:rPr>
        <w:t xml:space="preserve">Какие элементы должны быть на рисунке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Сверху узкий блок «Пользователь / браузер (Chrome, Safari, Firefox)».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Слой 1 — «Клиентская часть — Vue 3 SPA · Vite · TypeScript». Внутри 7 компонентов: LoginView, ProductsView, OrdersView, RecommendationsView, FavouritesView, «+ ещё 6», src/api/http.ts (выделить желтым — это управляющий слой), vue-router + событие cart-changed.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Слой 2 — «Серверная часть — Go 1.25 · Gin · GORM · многослойная архитектура». Внутри: API layer (api/v1/apies.go) · Handlers (10 файлов) · Services · Repository · Models (GORM, 12 шт.) · JWT (golang-jwt/v5) · bcrypt · logrus · Database · cmd/run.go.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Слой 3 — «Слой хранения и аналитики»: овал PostgreSQL 16 (12 GORM-сущностей, 3НФ, ACID, индексы, jsonb, авто-миграция) · овал MongoDB 6 (коллекция products, {product_id, content_type, data}) · зелёный блок «Python ML (CLI · scikit-learn · pandas · SQLAlchemy)» с тремя подскриптами: recommender.py (TruncatedSVD n=24), food_recommender.py (CB+CF+meal+recency), dish_recommender.py.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Стрелки между слоями подписаны: HTTPS (клиент → сервер), GORM (pgx) → PostgreSQL, mongo-go-driver → MongoDB, exec.Command · JSON via stdout · fallback на CB-эвристику → Python.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Цветовая палитра: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Базовый бело-голубой; зелёный для Python; жёлтый для базы; жёлто-оранжевый для управляющих компонентов (api/http.ts, JWT-middleware, cmd/run.go).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B97"/>
          <w:sz w:val="30"/>
          <w:szCs w:val="30"/>
        </w:rPr>
        <w:t xml:space="preserve">Рисунок 2.4 — ER-диаграмма базы данных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Где используется: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Глава 2.3.2 + глава 3.1 Основы.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Инструмент: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dbdiagram.io (рекомендую — у вас уже есть DBML в Логическая схема.txt) или draw.io (Entity Relation)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Мой набросок: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Диаграммы_наброски/fig_2_4.svg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Назначение: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Показать 12 сущностей PostgreSQL и логическую связь с MongoDB-коллекцией.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6"/>
          <w:szCs w:val="26"/>
        </w:rPr>
        <w:t xml:space="preserve">Какие элементы должны быть на рисунке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Сущности PostgreSQL (12 штук): User, Order, OrderItem, Product, Category, Manufacturer, Country, Dish, DishProduct, DishCategoryRequirement, FavouriteProduct, FavouriteDish.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каждой сущности шапка с названием и список атрибутов с типами (BIGSERIAL, TEXT, NUMERIC, TIMESTAMPTZ, JSONB и т.д.).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Помечать PK (Primary Key) bold, FK (Foreign Key) курсивом с указанием на какую сущность ссылается, UQ (Unique) отдельно (например, у Product.barcode).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Product выделить блок КБЖУ: calories_kcal, protein_g, fat_g, carbs_g.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Связи через crow's foot: User 1:N Order; Order 1:N OrderItem; Product 1:N OrderItem; Category 1:N Product; Manufacturer 1:N Product; Category 1:N DishCategoryRequirement; Dish 1:N DishProduct; Product 1:N DishProduct; Dish 1:N DishCategoryRequirement; User 1:N FavouriteProduct; Product 1:N FavouriteProduct; User 1:N FavouriteDish; Dish 1:N FavouriteDish.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Отдельным блоком справа: «MongoDB: products» с документом {product_id: int64, content_type: string, data: BinData}. Соединить с Product пунктирной линией с подписью «по product_id (логическая связь между разными СУБД)».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Внизу легенда: PK, FK, UQ, crow's foot.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Цветовая палитра: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Базовый бело-синий для PostgreSQL-сущностей, бело-жёлтый для MongoDB-блока, серая пунктирная связь между ними.</w:t>
      </w:r>
    </w:p>
    <w:p>
      <w:pPr>
        <w:shd w:fill="FFF7E0" w:val="clear"/>
        <w:spacing w:after="80" w:before="80" w:line="320" w:lineRule="auto"/>
        <w:jc w:val="both"/>
      </w:pPr>
      <w:r>
        <w:rPr>
          <w:rFonts w:ascii="Times New Roman" w:cs="Times New Roman" w:eastAsia="Times New Roman" w:hAnsi="Times New Roman"/>
          <w:i/>
          <w:iCs/>
          <w:color w:val="8A6300"/>
          <w:sz w:val="24"/>
          <w:szCs w:val="24"/>
        </w:rPr>
        <w:t xml:space="preserve">Совет: возьмите файл «Логическая схема базы данных информационной системы.txt» как стартовый DBML и обновите его — добавьте Dish, DishProduct, DishCategoryRequirement, FavouriteProduct, FavouriteDish; уберите Purchase, Supplier, Stock, BatchNumber.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B97"/>
          <w:sz w:val="30"/>
          <w:szCs w:val="30"/>
        </w:rPr>
        <w:t xml:space="preserve">Рисунок 2.5 — Sequence: подбор блюд по корзине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Где используется: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Глава 2.3.3 + глава 3.4.1 Основы.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Инструмент: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draw.io (UML Sequence) или PlantUML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Мой набросок: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Диаграммы_наброски/fig_2_5.svg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Назначение: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Показать жизненный цикл запроса POST /v1/users/:id/meals/from-cart от клиента до возврата JSON.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6"/>
          <w:szCs w:val="26"/>
        </w:rPr>
        <w:t xml:space="preserve">Какие элементы должны быть на рисунке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 жизненных линий: Vue 3 SPA (OrdersView.vue) · Go: Handler (GetMealsFromCart) · Service: DishesFromCart (meal_from_order.go) · scoreDishByCategories (для каждого блюда) · PostgreSQL (User, Dish, Product) · nutritionScore (формула).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Активации на каждой линии: тонкие вертикальные прямоугольники в моменты работы.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Сообщения: POST /meals/from-cart {items} → проверка claims.user_id == path :id (note) → DishesFromCart(uid, avail) → SELECT user (gender) → расчёт mealTarget (note) → SELECT dishes .Preload(...) → SELECT products WHERE id IN (cart_ids).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Loop-блок «для каждого блюда d»: score(d, avail, mealTarget) → normalizeIngredientKey + сопоставление (note) → nutritionScore(kcal, P, F, C, mealTarget) → возврат score ∈ [0..100] (note с формулой balance = 1 − Σ|share − target|, calFit = 1 − |kcal − mt|/mt, score = 50·balance + 50·calFit).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Сортировка результата: MatchRatio → Matched → Makeable → score.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Возврат [ ]OrderMealRecommendation в Handler → 200 OK + JSON (блюда + missing ингредиенты) клиенту.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Цветовая палитра: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Голубой для Go, жёлтый для PostgreSQL, жёлтые note-блоки для пояснений формул.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B97"/>
          <w:sz w:val="30"/>
          <w:szCs w:val="30"/>
        </w:rPr>
        <w:t xml:space="preserve">Рисунок 2.6 — Компонентная диаграмма серверной части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Где используется: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Глава 2.3.4 + глава 3.2 Основы.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Инструмент: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draw.io (UML Component)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Мой набросок: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Диаграммы_наброски/fig_2_6.svg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Назначение: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Показать 6 слоёв Go-сервиса с реальными именами файлов и зависимости.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6"/>
          <w:szCs w:val="26"/>
        </w:rPr>
        <w:t xml:space="preserve">Какие элементы должны быть на рисунке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 «пакетов» сверху вниз: API → Handlers → Services → Models, Repository → Database.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API: apies.go, enableCORS(), authMiddleware(), adminOnly(), apies_test.go.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Handlers: auth.go, product.go (+ product_image.go), order.go (+ order_access.go), favourite.go (+ admin_users.go), dishes.go, recommendation.go (+ base.go).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Services: order_service.go, product_service.go, meal_from_order.go (nutritionScore, MatchRatio), recommendation_service.go (fallback), python_recommender_service.go.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Models (12 GORM-сущностей перечислить).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Repository: product_image.go (SaveProductImage / GetProductImage / Delete).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Database: postgres.go · mongo.go (Connect, LoadConfig, DbPostgres · DbMongo).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Снизу — внешние зависимости (go.mod): gin-gonic/gin · gorm.io/gorm · mongo-go-driver · golang-jwt/v5 · sirupsen/logrus · standard lib.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Ещё ниже — три внешние подсистемы: PostgreSQL (12 таблиц + индексы), MongoDB (products), Python ML (subprocess, scikit-learn).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Стрелки: сплошные — «реализует / содержит» (направлены сверху вниз между слоями), пунктирные — «использует» (от слоёв к внешним подсистемам).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Цветовая палитра: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Голубой для Go-компонентов, жёлтый для middleware-функций, серый/жёлтый для внешних зависимостей, бежевый для PostgreSQL/MongoDB, зелёный для Python.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B97"/>
          <w:sz w:val="30"/>
          <w:szCs w:val="30"/>
        </w:rPr>
        <w:t xml:space="preserve">Рисунок 3.1 — Структура клиентского приложения (Vue 3 SPA)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Где используется: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Глава 3.3 Основы (после Рисунка 2.6).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Инструмент: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draw.io (Custom flow)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Мой набросок: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Диаграммы_наброски/fig_3_1.svg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Назначение: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Показать структуру SPA: корневой App.vue + Router, 10 представлений, API-слой, локальное хранилище, события.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6"/>
          <w:szCs w:val="26"/>
        </w:rPr>
        <w:t xml:space="preserve">Какие элементы должны быть на рисунке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Сверху центральный блок «main.ts + App.vue» (createApp(App).use(router).mount('#app')).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Снизу от него: «src/router/index.ts» (10 маршрутов) слева, «src/env.d.ts + style.css» справа.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 view-компонентов в виде прямоугольников (LoginView, RegisterView, ProductsView, OrdersView, RecommendationsView, FavouritesView, CategoriesView, ManufacturersView, DishesView, UsersView) с указанием маршрутов и краткого назначения.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 ними жёлтый блок «src/api/http.ts — axios instance»: baseURL, request interceptor (X-User-Id, Authorization Bearer JWT), список DTO-типов.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Внизу: фиолетовый блок «localStorage (currentUserId, currentUserName, currentUserRole, currentUserGender, authToken, cartItems[])», два зелёных блока событий «cart-changed» и «auth-changed», и блок «Внешний backend (Go + PostgreSQL/MongoDB + Python ML)».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Стрелки: от App.vue → к router и env.d.ts; от router → к каждому view (показать веером); от views → к http.ts; от http.ts → к localStorage и к backend; зелёные пунктирные стрелки = публикация и подписка на cart-changed/auth-changed.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Внизу примечание: «Управление состоянием — без Pinia/Vuex, через localStorage + нативные события».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Цветовая палитра: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Голубой для view, жёлтый для api/http.ts, фиолетовый для localStorage, зелёный для событий.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B97"/>
          <w:sz w:val="30"/>
          <w:szCs w:val="30"/>
        </w:rPr>
        <w:t xml:space="preserve">Рисунок 3.2 — Sequence: гибридная рекомендация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Где используется: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Глава 3.4.3 Основы; слайд 7 презентации.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Инструмент: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draw.io (UML Sequence) или PlantUML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Мой набросок: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Диаграммы_наброски/fig_3_2.svg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Назначение: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Показать запрос GET /v1/users/:id/recommendations/products?limit=K с основным путём (через Python) и fallback на CB-эвристику.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6"/>
          <w:szCs w:val="26"/>
        </w:rPr>
        <w:t xml:space="preserve">Какие элементы должны быть на рисунке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 жизненных линий: Vue 3 SPA · Go: Handler (recommendation.go) · authMiddleware (JWT) · Service: RecommendProducts (recommendation_service.go) · Python: food_recommender (scikit-learn) · PostgreSQL.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Активации на всех линиях.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Шаги: GET /recommendations/products?limit=K + Authorization Bearer JWT → проверить токен → note «decode JWT → user_id, role, exp + сохранить в Gin-context» → OK (c.Next) → RecommendProducts(uid, K).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Alt-блок 1 (жёлтый) «основной путь — вызов Python»: exec.Command(python, food_recommender.py, --user-id, --k, --db-url) → SELECT * FROM orders, order_items, favourites → DataFrame → note «TruncatedSVD (n_components = 24) + формула final = w_cb·CB + w_cf·CF + w_meal·meal + w_recency·recency» → stdout JSON {recommendations: [...]} → note «json.Unmarshal → []ProductRecommendation, sort by FinalScore desc, limit K».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Alt-блок 2 (красноватый) «fallback — Python недоступен или вернул пустой ответ»: SELECT favourite_products + кандидаты по category_id/manufacturer_id → CB-эвристика.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Возврат: [ ]ProductRecommendation → 200 OK + JSON клиенту.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Внизу примечание: «Целевая задержка цикла: ≤ 500 мс (с Python) / ≤ 200 мс (fallback)».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Цветовая палитра: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Голубой для Go, зелёный для Python, жёлтый для PostgreSQL, жёлтые alt-блоки для основного пути, розоватые — для fallback.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B97"/>
          <w:sz w:val="30"/>
          <w:szCs w:val="30"/>
        </w:rPr>
        <w:t xml:space="preserve">Рисунок 4.1 — Зависимость Precision@K и Recall@K от K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Где используется: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Глава 4.1.5 / 4.2 Основы; слайд 8 презентации.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Инструмент: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matplotlib / Excel / draw.io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Мой набросок: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Диаграммы_наброски/fig_4_1.svg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Назначение: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Показать сравнение трёх моделей по двум метрикам при K=5, 10, 15, 20.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6"/>
          <w:szCs w:val="26"/>
        </w:rPr>
        <w:t xml:space="preserve">Какие элементы должны быть на рисунке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Двухпанельный график: слева Precision@K (выше = лучше), справа Recall@K (выше = лучше).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Оси: X = K (5, 10, 15, 20), Y = значение метрики (0.0..0.4).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линии разными цветами и стилями: Модель A — CB-fallback (серая пунктирная), Модель B — TruncatedSVD (синяя сплошная), Модель C — гибрид (зелёная или красная сплошная толстая).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Точки-маркеры на каждом K.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Легенда снизу: A: контент-ориентированный fallback · B: TruncatedSVD · C: гибрид (CB + CF + meal + recency).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Заголовок: «Зависимость Precision@K и Recall@K от K для трёх моделей».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Цветовая палитра: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Серый для baseline, синий для SVD, зелёный/красный для гибрида.</w:t>
      </w:r>
    </w:p>
    <w:p>
      <w:pPr>
        <w:shd w:fill="FFF7E0" w:val="clear"/>
        <w:spacing w:after="80" w:before="80" w:line="320" w:lineRule="auto"/>
        <w:jc w:val="both"/>
      </w:pPr>
      <w:r>
        <w:rPr>
          <w:rFonts w:ascii="Times New Roman" w:cs="Times New Roman" w:eastAsia="Times New Roman" w:hAnsi="Times New Roman"/>
          <w:i/>
          <w:iCs/>
          <w:color w:val="8A6300"/>
          <w:sz w:val="24"/>
          <w:szCs w:val="24"/>
        </w:rPr>
        <w:t xml:space="preserve">Совет: если будете подставлять реальные числа — запустите ml/recommender.py с скриптом оценки на текущей БД, получите цифры, постройте график в matplotlib (savefig в PNG) или в Excel.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B97"/>
          <w:sz w:val="30"/>
          <w:szCs w:val="30"/>
        </w:rPr>
        <w:t xml:space="preserve">Рисунок 4.2 — Гистограммы долей белков, жиров и углеводов в корзине до и после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Где используется: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Глава 4.2.4 Основы.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Инструмент: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matplotlib / Excel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Мой набросок: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Диаграммы_наброски/fig_4_2.svg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Назначение: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Показать сглаживание дефицита: распределение БЖУ в корзине до применения гибридной модели vs после.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6"/>
          <w:szCs w:val="26"/>
        </w:rPr>
        <w:t xml:space="preserve">Какие элементы должны быть на рисунке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 группы столбцов (или три отдельные гистограммы): белки, жиры, углеводы.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каждой группе: красный столбец «до» и зелёный «после». Пунктирная горизонтальная линия — целевая доля (25%, 30%, 45% соответственно).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Подписи значений над столбцами в процентах.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Легенда снизу: До (без рекомендаций) · После (с гибридом) · Целевые доли.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Цветовая палитра: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Красный для «до», зелёный для «после», жёлтая пунктирная для целевых.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4. Чек-лист на завтра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Чтобы завтра успеть всё за день, действуйте в таком порядке: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draw.io desktop (brew install --cask drawio) или открыть https://app.diagrams.net.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Открыть мой набросок (например, Диаграммы_наброски/fig_2_3.svg) через File → Import → выбрать SVG.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Перерисовать по спецификации из этого гайда. Соблюдать нотацию (BPMN — bpmn.io, UML — draw.io UML shapes, ER — dbdiagram.io).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Экспортировать каждый рисунок в PNG: File → Export as → PNG → масштаб 2x, белый фон. Имя файла — fig_X_Y.png (например, fig_2_3.png).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Вставить в Основа.docx через Вставка → Рисунок → Из файла. Поставить подпись «Рисунок X.Y — Название» сразу под рисунком (см. оформление в текущих местах в Основе — там подписи уже есть).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презентации заменить 4 моих PNG: на слайдах 5, 6, 7, 8 (fig_1_2, fig_2_3, fig_3_2, fig_4_1). Откройте слайд → правой кнопкой по моему изображению → «Изменить изображение» → выберите новый PNG.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Прогнать Основу через «Руконтекст» на оригинальность ≥55% (требование методички ИПТИП).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5. Подсказки для конкретных типов диаграмм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B97"/>
          <w:sz w:val="30"/>
          <w:szCs w:val="30"/>
        </w:rPr>
        <w:t xml:space="preserve">5.1. BPMN — где брать shapes в draw.io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левом меню shapes — найти раздел «BPMN 2.0».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раздела нет: внизу слева «More Shapes…» → отметить галочку «BPMN 2.0».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Pool/Lane (большой прямоугольник с дорожками) — категория «Containers».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Альтернатива: открыть https://demo.bpmn.io — там всё строго по нотации, потом «Download as SVG».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B97"/>
          <w:sz w:val="30"/>
          <w:szCs w:val="30"/>
        </w:rPr>
        <w:t xml:space="preserve">5.2. UML Sequence — два варианта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draw.io: shapes → «UML» → есть «Lifeline», «Activation», «Synchronous Call» (сплошная стрелка), «Asynchronous Return» (пунктирная).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PlantUML: написать в текстовом виде, прогнать через https://www.plantuml.com/plantuml — получите PNG/SVG.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 PlantUML-кода для sequence корзины (можно вставить как заготовку):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@startuml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actor "Vue 3 SPA" as V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participant "Go: Handler" as H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participant "Service: DishesFromCart" as S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database "PostgreSQL" as DB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V -&gt; H: POST /meals/from-cart {items}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activate H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H -&gt; S: DishesFromCart(uid, avail)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activate S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S -&gt; DB: SELECT user (gender)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DB --&gt; S: User{Gender}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S -&gt; DB: SELECT dishes Preload(...)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DB --&gt; S: []Dish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loop для каждого блюда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  S -&gt; S: scoreDishByCategories(d, avail, mealTarget)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S --&gt; H: []OrderMealRecommendation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deactivate S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H --&gt; V: 200 OK + JSON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deactivate H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@enduml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B97"/>
          <w:sz w:val="30"/>
          <w:szCs w:val="30"/>
        </w:rPr>
        <w:t xml:space="preserve">5.3. ER — через dbdiagram.io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Откройте https://dbdiagram.io, в левой панели сотрите пример и вставьте DBML по 12 сущностям. Справа автоматически нарисуется диаграмма с правильной нотацией crow's foot. Затем «Export → PNG».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Заготовка DBML — обновите её из моего fig_2_4.svg и из реального кода internal/models/*.go: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Table User {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id bigserial [pk]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name text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role text  // admin, user, cashier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password_hash text  // bcrypt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gender text  // male, female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hired_at timestamptz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Table Product {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id bigserial [pk]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name text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category_id bigint [ref: &gt; Category.id]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manufacturer_id bigint [ref: &gt; Manufacturer.id]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barcode text [unique]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default_price numeric(12,2)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calories_kcal numeric(10,2)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protein_g numeric(10,2)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fat_g numeric(10,2)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carbs_g numeric(10,2)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created_at timestamptz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Table Dish { id bigserial [pk], name text }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Table DishProduct {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id bigserial [pk]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dish_id bigint [ref: &gt; Dish.id]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product_id bigint [ref: &gt; Product.id]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quantity int, price_per_unit numeric(12,2), discount int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// и так далее: Category, Manufacturer, Country, Order, OrderItem,</w:t>
      </w:r>
    </w:p>
    <w:p>
      <w:pPr>
        <w:shd w:fill="F4F4F4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// DishCategoryRequirement, FavouriteProduct, FavouriteDish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6. Что НЕ нужно делать (типичные ошибки)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оставлять автоматическую сетку и линейки на экспортированном PNG — отключить «View → Grid» перед экспортом.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использовать смайлы и эмодзи как обозначения — только стандартные элементы нотации.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делать рисунок слишком плотным — оставьте 0.5–1 см «воздуха» вокруг.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смешивать кириллицу и латиницу в одном элементе без необходимости. Если пишете название сущности на английском (как в коде — User, Product), пусть будет английским; пояснения — на русском.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делать рисунок шире 16 см в Word (стандартный поля 30/15 мм слева/справа — содержательная область ~16 см). В PowerPoint — не шире слайда минус 1 см.</w:t>
      </w:r>
    </w:p>
    <w:p>
      <w:pPr>
        <w:pStyle w:val="ListParagraph"/>
        <w:numPr>
          <w:ilvl w:val="0"/>
          <w:numId w:val="2"/>
        </w:numPr>
        <w:spacing w:after="60" w:line="32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использовать яркие неоновые цвета — палитра должна быть спокойной (см. цветовые рекомендации выше для каждого рисунка).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7. Контакт и помощь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по какому-то рисунку будет неясно — открой в draw.io мой набросок (Диаграммы_наброски/fig_X_Y.svg) и работай поверх него: добавляй, переставляй, убирай. SVG в draw.io импортируется как редактируемые объекты, не как картинка-фон.</w:t>
      </w:r>
    </w:p>
    <w:p>
      <w:pPr>
        <w:spacing w:after="80" w:line="32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того как все 12 PNG будут готовы — могу помочь вставить их в Основа.docx и в презентацию по правильным позициям, и подставить корректные подписи.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t xml:space="preserve"/>
    </w: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 w:line="320" w:lineRule="auto"/>
      <w:outlineLvl w:val="0"/>
    </w:pPr>
    <w:rPr>
      <w:rFonts w:ascii="Times New Roman" w:cs="Times New Roman" w:eastAsia="Times New Roman" w:hAnsi="Times New Roman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 w:line="320" w:lineRule="auto"/>
      <w:outlineLvl w:val="1"/>
    </w:pPr>
    <w:rPr>
      <w:rFonts w:ascii="Times New Roman" w:cs="Times New Roman" w:eastAsia="Times New Roman" w:hAnsi="Times New Roman"/>
      <w:b/>
      <w:bCs/>
      <w:color w:val="2E5B9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 w:line="320" w:lineRule="auto"/>
      <w:outlineLvl w:val="2"/>
    </w:pPr>
    <w:rPr>
      <w:rFonts w:ascii="Times New Roman" w:cs="Times New Roman" w:eastAsia="Times New Roman" w:hAnsi="Times New Roman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Гайд по перерисовке диаграмм</dc:title>
  <dc:creator>Aleksey Boldinov</dc:creator>
  <cp:lastModifiedBy>Un-named</cp:lastModifiedBy>
  <cp:revision>1</cp:revision>
  <dcterms:created xsi:type="dcterms:W3CDTF">2026-05-18T14:18:28.841Z</dcterms:created>
  <dcterms:modified xsi:type="dcterms:W3CDTF">2026-05-18T14:18:28.841Z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