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BiblioGuard: Confidence-gated bibliographic metadata intervention for cross-domain scientific retrieval-augmented generation</w:t>
      </w:r>
    </w:p>
    <w:p/>
    <w:p>
      <w:r>
        <w:rPr>
          <w:b/>
          <w:i w:val="0"/>
          <w:sz w:val="24"/>
        </w:rPr>
        <w:t>Abstract</w:t>
      </w:r>
    </w:p>
    <w:p>
      <w:r>
        <w:rPr>
          <w:b w:val="0"/>
          <w:i w:val="0"/>
          <w:sz w:val="22"/>
        </w:rPr>
        <w:t>Bibliographic metadata is a tempting ranking prior for scientific retrieval-augmented generation (RAG), but a static citation or recency boost can improve one domain and harm another. We introduce BiblioGuard, a confidence-gated intervention policy that decides, for each query, whether a strong metadata-free hybrid should be modified. Nine single-signal citation or recency actions are evaluated from historical queries. For a held-out query, word- and character-level TF-IDF retrieve similar training queries; similarity-weighted paired NDCG@10 effects are converted into simultaneous one-sided Student-t lower confidence bounds. BiblioGuard selects the action with the largest positive lower bound and otherwise abstains to BGE-Hybrid. Five-fold cross-fitting ensures that a query's relevance judgments never enter its representation, neighbours, effect estimate, or decision. Across SCIDOCS, SciFact, NFCorpus, and TREC-COVID (1,673 queries), BiblioGuard raises SCIDOCS NDCG@10 from 0.1832 to 0.1881 (+0.0049; 18.7% intervention rate; Holm-adjusted p &lt; 0.001) and abstains on the other three domains, producing no observed negative mean transfer. Removing the simultaneous lower-bound gate activates 45.8%-67.3% of queries in those domains and reduces NDCG@10 by 0.00003, 0.00339, and 0.01148, respectively. Corpus diagnostics explain the pattern: citation actions are supported only where citation count predicts relevance. A secondary 200-query generation study and a pilot deployment establish end-to-end feasibility. Code, cross-fitted decisions, and per-query scores are released for exact reproduction.</w:t>
      </w:r>
    </w:p>
    <w:p>
      <w:r>
        <w:rPr>
          <w:b w:val="0"/>
          <w:i/>
          <w:sz w:val="20"/>
        </w:rPr>
        <w:t>Keywords: retrieval-augmented generation; scientific information retrieval; bibliographic metadata; selective prediction; treatment-effect routing; abstention; expert systems</w:t>
      </w:r>
    </w:p>
    <w:p>
      <w:r>
        <w:br w:type="page"/>
      </w:r>
    </w:p>
    <w:p>
      <w:r>
        <w:rPr>
          <w:b/>
          <w:i w:val="0"/>
          <w:sz w:val="24"/>
        </w:rPr>
        <w:t>1. Introduction</w:t>
      </w:r>
    </w:p>
    <w:p>
      <w:r>
        <w:rPr>
          <w:b w:val="0"/>
          <w:i w:val="0"/>
          <w:sz w:val="22"/>
        </w:rPr>
        <w:t>Scientific retrieval-augmented generation (RAG) grounds a generated answer in papers returned by an information-retrieval system (Lewis et al., 2020). Bibliographic fields offer evidence unavailable to content encoders: citation count approximates accumulated authority and publication year captures timeliness. Their use is nevertheless an intervention, not a free feature. A fixed citation boost can favour canonical work in computer science while suppressing recent evidence in pandemic medicine. The same action can therefore be beneficial, irrelevant, or harmful across queries and domains.</w:t>
      </w:r>
    </w:p>
    <w:p>
      <w:r>
        <w:rPr>
          <w:b w:val="0"/>
          <w:i w:val="0"/>
          <w:sz w:val="22"/>
        </w:rPr>
        <w:t>Existing adaptive RAG routers largely predict which retriever will perform best. That objective is insufficient when metadata is optional and the deployment already has a strong content-based fallback: the operational question is whether the incremental effect of a metadata action is positive with enough evidence to justify departing from the fallback. Absolute performance prediction also ignores the paired structure of alternative rankings for the same query and can over-intervene after choosing among many noisy actions.</w:t>
      </w:r>
    </w:p>
    <w:p>
      <w:r>
        <w:rPr>
          <w:b w:val="0"/>
          <w:i w:val="0"/>
          <w:sz w:val="22"/>
        </w:rPr>
        <w:t>We address this gap with BiblioGuard, a cross-fitted, confidence-gated meta-policy for bibliographic intervention. It estimates local paired uplift for nine single-signal citation or recency actions from similar historical queries, corrects the one-sided decision threshold across the action family, and abstains to BGE-Hybrid unless the best action has a positive lower confidence bound. The policy is lightweight, encoder-agnostic, and auditable: each decision is accompanied by its estimated effect, lower bound, neighbour count, and selected action.</w:t>
      </w:r>
    </w:p>
    <w:p>
      <w:r>
        <w:rPr>
          <w:b w:val="0"/>
          <w:i w:val="0"/>
          <w:sz w:val="22"/>
        </w:rPr>
        <w:t>We study three research questions:</w:t>
      </w:r>
    </w:p>
    <w:p>
      <w:pPr>
        <w:pStyle w:val="ListBullet"/>
      </w:pPr>
      <w:r>
        <w:t>RQ1. Can paired-effect confidence gating exploit useful metadata without the cross-domain negative transfer of unconstrained routing?</w:t>
      </w:r>
    </w:p>
    <w:p>
      <w:pPr>
        <w:pStyle w:val="ListBullet"/>
      </w:pPr>
      <w:r>
        <w:t>RQ2. Which parts of BiblioGuard—local effect estimation, simultaneous confidence correction, and abstention—account for its behaviour?</w:t>
      </w:r>
    </w:p>
    <w:p>
      <w:pPr>
        <w:pStyle w:val="ListBullet"/>
      </w:pPr>
      <w:r>
        <w:t>RQ3. Which corpus signals explain activation, and is the resulting decision layer feasible in an end-to-end scientific RAG system?</w:t>
      </w:r>
    </w:p>
    <w:p>
      <w:r>
        <w:rPr>
          <w:b w:val="0"/>
          <w:i w:val="0"/>
          <w:sz w:val="22"/>
        </w:rPr>
        <w:t>Answering these questions yields the following contributions:</w:t>
      </w:r>
    </w:p>
    <w:p>
      <w:pPr>
        <w:pStyle w:val="ListBullet"/>
      </w:pPr>
      <w:r>
        <w:t>BiblioGuard, a new selective metadata-intervention algorithm that combines local paired treatment effects, simultaneous one-sided confidence bounds, and an explicit metadata-free fallback (RQ1);</w:t>
      </w:r>
    </w:p>
    <w:p>
      <w:pPr>
        <w:pStyle w:val="ListBullet"/>
      </w:pPr>
      <w:r>
        <w:t>A leakage-resistant five-fold evaluation protocol in which vectoriser fitting, neighbour selection, effect estimation, and action choice exclude each held-out query and its relevance judgments (RQ1, RQ2);</w:t>
      </w:r>
    </w:p>
    <w:p>
      <w:pPr>
        <w:pStyle w:val="ListBullet"/>
      </w:pPr>
      <w:r>
        <w:t>A mechanism ablation showing that removing the confidence gate gains more on SCIDOCS but causes negative transfer on SciFact, NFCorpus, and TREC-COVID, whereas the complete policy abstains there (RQ2);</w:t>
      </w:r>
    </w:p>
    <w:p>
      <w:pPr>
        <w:pStyle w:val="ListBullet"/>
      </w:pPr>
      <w:r>
        <w:t>A four-domain diagnostic account linking action utility to citation-relevance association rather than metadata coverage, plus comparisons with ten retrieval configurations and two rank-fusion baselines (RQ3);</w:t>
      </w:r>
    </w:p>
    <w:p>
      <w:pPr>
        <w:pStyle w:val="ListBullet"/>
      </w:pPr>
      <w:r>
        <w:t>An exact reproduction package containing code, nine-action outcomes, cross-fitted decisions, 135 algorithm-integrity checks, and a secondary generation/deployment feasibility study (RQ3).</w:t>
      </w:r>
    </w:p>
    <w:p>
      <w:r>
        <w:rPr>
          <w:b w:val="0"/>
          <w:i w:val="0"/>
          <w:sz w:val="22"/>
        </w:rPr>
        <w:t>The remainder of the paper is organised as follows. Section 2 reviews related work. Section 3 describes the deployed system. Section 4 formalises the retrieval actions and BiblioGuard. Section 5 details datasets, metadata acquisition, and evaluation protocol. Section 6 reports results. Section 7 presents the deployment case study. Section 8 discusses implications and limitations, and Section 9 concludes.</w:t>
      </w:r>
    </w:p>
    <w:p>
      <w:r>
        <w:rPr>
          <w:b/>
          <w:i w:val="0"/>
          <w:sz w:val="24"/>
        </w:rPr>
        <w:t>2. Related work</w:t>
      </w:r>
    </w:p>
    <w:p>
      <w:r>
        <w:rPr>
          <w:b/>
          <w:i w:val="0"/>
          <w:sz w:val="22"/>
        </w:rPr>
        <w:t>2.1. Retrieval for scientific text</w:t>
      </w:r>
    </w:p>
    <w:p>
      <w:r>
        <w:rPr>
          <w:b w:val="0"/>
          <w:i w:val="0"/>
          <w:sz w:val="22"/>
        </w:rPr>
        <w:t>Sparse lexical retrieval with BM25 (Robertson &amp; Zaragoza, 2009) remains a strong baseline on scientific corpora. Dense passage retrieval (Karpukhin et al., 2020) and its scientific specialisations—SPECTER (Cohan et al., 2020), which exploits citation links during pre-training, and neighborhood-contrastive approaches (Ostendorff et al., 2022)—improve semantic matching. Benchmarks such as BEIR (Thakur et al., 2021) and SciRepEval (Singh et al., 2023) have shown that no single retriever dominates across domains, a finding our study sharpens for RAG-oriented pipelines. Sentence-level encoders such as Sentence-BERT (Reimers &amp; Gurevych, 2019) and the distilled MiniLM family (Wang et al., 2020) make dense retrieval cheap enough for CPU-only deployment, which is the regime our deployed system operates in; E5 (Wang et al., 2022) and the BGE family (Chen et al., 2024) push the same efficiency-quality frontier further.</w:t>
      </w:r>
    </w:p>
    <w:p>
      <w:r>
        <w:rPr>
          <w:b/>
          <w:i w:val="0"/>
          <w:sz w:val="22"/>
        </w:rPr>
        <w:t>2.2. Hybrid and metadata-aware ranking</w:t>
      </w:r>
    </w:p>
    <w:p>
      <w:r>
        <w:rPr>
          <w:b w:val="0"/>
          <w:i w:val="0"/>
          <w:sz w:val="22"/>
        </w:rPr>
        <w:t>Hybrid systems interpolate sparse and dense scores (Lin, 2021; Qu et al., 2021). Re-ranking with cross-encoders or sequence-to-sequence models (monoT5; Nogueira et al., 2020) and zero-shot LLM rankers such as setwise prompting (Zhuang et al., 2024) improve top-of-ranking quality at additional inference cost; these methods re-rank by content only. CA-HR instead re-ranks by combining content scores with citation-authority and recency signals derived from real bibliographic metadata, in the spirit of authority-aware scholarly search but applied inside a RAG pipeline. UMA-RAG and LP-RAG represent two alternative metadata-aware designs (uniform metadata augmentation and length-penalised ranking, respectively) and serve as strong in-family baselines.</w:t>
      </w:r>
    </w:p>
    <w:p>
      <w:r>
        <w:rPr>
          <w:b/>
          <w:i w:val="0"/>
          <w:sz w:val="22"/>
        </w:rPr>
        <w:t>2.3. Adaptive and agentic RAG</w:t>
      </w:r>
    </w:p>
    <w:p>
      <w:r>
        <w:rPr>
          <w:b w:val="0"/>
          <w:i w:val="0"/>
          <w:sz w:val="22"/>
        </w:rPr>
        <w:t>Recent systems make retrieval adaptive: Self-RAG (Asai et al., 2024) learns when to retrieve, ITER-RETGEN (Shao et al., 2023) interleaves retrieval and generation, and agent-based assistants (Wang et al., 2024) plan multi-step retrieval. OpenScholar (Asai et al., 2026) synthesises scientific literature with retrieval-augmented models. Query-wise Dual-perspective Adaptive Retrieval (QuDAR) selects sparse, dense, or expanded-query retrieval from score-margin confidence and an LLM perspective (Kim et al., 2026). R3AG learns retriever capabilities and routes using both retrieval-quality and generation-utility labels (Zhao et al., 2026), while ContextualRouter uses past query performance for non-parametric LLM/retriever routing (Varangot-Reille et al., 2026). These systems predict absolute candidate utility. BiblioGuard instead estimates the paired incremental effect of an optional metadata action relative to a fixed strong fallback, applies a simultaneous lower-bound test over all actions, and can choose no intervention. The target, correction, and abstention rule are therefore distinct from best-retriever classification.</w:t>
      </w:r>
    </w:p>
    <w:p>
      <w:r>
        <w:rPr>
          <w:b/>
          <w:i w:val="0"/>
          <w:sz w:val="22"/>
        </w:rPr>
        <w:t>2.4. Evaluating the generation side</w:t>
      </w:r>
    </w:p>
    <w:p>
      <w:r>
        <w:rPr>
          <w:b w:val="0"/>
          <w:i w:val="0"/>
          <w:sz w:val="22"/>
        </w:rPr>
        <w:t>Retrieval metrics do not directly measure what users read. We therefore add a generation-side study in which the same questions are answered by a fixed LLM (DeepSeek, deepseek-chat; DeepSeek-AI, 2024) conditioned on contexts produced by two competing backends, scored for relevance and faithfulness with an LLM judge (Zheng et al., 2023) and for citation precision against the gold relevance judgments. This closes the loop between retrieval evaluation and deployed answer quality.</w:t>
      </w:r>
    </w:p>
    <w:p>
      <w:r>
        <w:rPr>
          <w:b/>
          <w:i w:val="0"/>
          <w:sz w:val="22"/>
        </w:rPr>
        <w:t>2.5. Metadata-aware scientific RAG and positioning</w:t>
      </w:r>
    </w:p>
    <w:p>
      <w:r>
        <w:rPr>
          <w:b w:val="0"/>
          <w:i w:val="0"/>
          <w:sz w:val="22"/>
        </w:rPr>
        <w:t>The RAG literature has moved quickly, and several 2025-2026 studies are closest to our problem. SurveyGen (Bao et al., 2025) builds a large-scale scientific survey dataset and a quality-aware framework (QUAL-SG) that injects citation counts, author influence, and venue reputation into literature retrieval for survey generation; it demonstrates that quality metadata helps its generation pipeline but does not isolate when or why the retrieval-level gain occurs. Yousuf et al. (2026) systematically compare metadata-as-text, dual-encoder, and reformulation strategies on SEC filings and show that moderate metadata weights help on structured financial corpora; their metadata is structural (company, form, section), not bibliometric. SciRAG (Ding et al., 2026) couples adaptive retrieval with citation-graph symbolic reasoning and outline-guided synthesis for scientific question answering, using citations to organise evidence rather than as a ranking prior. RA-RAG (Hwang et al., 2025) estimates per-source reliability by cross-checking and retrieves only from reliable sources in multi-source QA. Table 1 summarises the positioning. Our work is complementary and, to our knowledge, the first to (i) quantify, across four scientific domains, when citation- and recency-aware ranking priors help, are neutral, or harm—linking the outcome to a measurable corpus property (citation-relevance AUC) rather than to metadata coverage—and (ii) turn that diagnostic finding into a query-level intervention algorithm with paired-effect estimation, multiplicity-aware confidence gating, and abstention. This is not a claim of a distribution-free safety guarantee: the confidence bound is a local, similarity-weighted decision statistic whose empirical behaviour is evaluated by cross-fitting.</w:t>
      </w:r>
    </w:p>
    <w:p>
      <w:r>
        <w:br w:type="page"/>
      </w:r>
    </w:p>
    <w:p>
      <w:r>
        <w:rPr>
          <w:b w:val="0"/>
          <w:i/>
          <w:sz w:val="18"/>
        </w:rPr>
        <w:t>Table 1. Algorithmic positioning against recent adaptive-retrieval routers. Metadata-aware systems are reviewed in the text.</w:t>
      </w:r>
    </w:p>
    <w:tbl>
      <w:tblPr>
        <w:tblStyle w:val="TableGrid"/>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r>
              <w:rPr>
                <w:b/>
                <w:sz w:val="14"/>
              </w:rPr>
              <w:t>Study</w:t>
            </w:r>
          </w:p>
        </w:tc>
        <w:tc>
          <w:tcPr>
            <w:tcW w:type="dxa" w:w="1728"/>
          </w:tcPr>
          <w:p>
            <w:r>
              <w:rPr>
                <w:b/>
                <w:sz w:val="14"/>
              </w:rPr>
              <w:t>Decision target</w:t>
            </w:r>
          </w:p>
        </w:tc>
        <w:tc>
          <w:tcPr>
            <w:tcW w:type="dxa" w:w="1728"/>
          </w:tcPr>
          <w:p>
            <w:r>
              <w:rPr>
                <w:b/>
                <w:sz w:val="14"/>
              </w:rPr>
              <w:t>Supervision</w:t>
            </w:r>
          </w:p>
        </w:tc>
        <w:tc>
          <w:tcPr>
            <w:tcW w:type="dxa" w:w="1728"/>
          </w:tcPr>
          <w:p>
            <w:r>
              <w:rPr>
                <w:b/>
                <w:sz w:val="14"/>
              </w:rPr>
              <w:t>Family-wise gate</w:t>
            </w:r>
          </w:p>
        </w:tc>
        <w:tc>
          <w:tcPr>
            <w:tcW w:type="dxa" w:w="1728"/>
          </w:tcPr>
          <w:p>
            <w:r>
              <w:rPr>
                <w:b/>
                <w:sz w:val="14"/>
              </w:rPr>
              <w:t>Explicit abstention</w:t>
            </w:r>
          </w:p>
        </w:tc>
      </w:tr>
      <w:tr>
        <w:trPr>
          <w:cantSplit/>
        </w:trPr>
        <w:tc>
          <w:tcPr>
            <w:tcW w:type="dxa" w:w="1728"/>
          </w:tcPr>
          <w:p>
            <w:r>
              <w:rPr>
                <w:sz w:val="14"/>
              </w:rPr>
              <w:t>QuDAR (Kim et al., 2026)</w:t>
            </w:r>
          </w:p>
        </w:tc>
        <w:tc>
          <w:tcPr>
            <w:tcW w:type="dxa" w:w="1728"/>
          </w:tcPr>
          <w:p>
            <w:r>
              <w:rPr>
                <w:sz w:val="14"/>
              </w:rPr>
              <w:t>Best retriever/query form</w:t>
            </w:r>
          </w:p>
        </w:tc>
        <w:tc>
          <w:tcPr>
            <w:tcW w:type="dxa" w:w="1728"/>
          </w:tcPr>
          <w:p>
            <w:r>
              <w:rPr>
                <w:sz w:val="14"/>
              </w:rPr>
              <w:t>Margins and LLM decision</w:t>
            </w:r>
          </w:p>
        </w:tc>
        <w:tc>
          <w:tcPr>
            <w:tcW w:type="dxa" w:w="1728"/>
          </w:tcPr>
          <w:p>
            <w:r>
              <w:rPr>
                <w:sz w:val="14"/>
              </w:rPr>
              <w:t>No</w:t>
            </w:r>
          </w:p>
        </w:tc>
        <w:tc>
          <w:tcPr>
            <w:tcW w:type="dxa" w:w="1728"/>
          </w:tcPr>
          <w:p>
            <w:r>
              <w:rPr>
                <w:sz w:val="14"/>
              </w:rPr>
              <w:t>No</w:t>
            </w:r>
          </w:p>
        </w:tc>
      </w:tr>
      <w:tr>
        <w:trPr>
          <w:cantSplit/>
        </w:trPr>
        <w:tc>
          <w:tcPr>
            <w:tcW w:type="dxa" w:w="1728"/>
          </w:tcPr>
          <w:p>
            <w:r>
              <w:rPr>
                <w:sz w:val="14"/>
              </w:rPr>
              <w:t>R3AG (Zhao et al., 2026)</w:t>
            </w:r>
          </w:p>
        </w:tc>
        <w:tc>
          <w:tcPr>
            <w:tcW w:type="dxa" w:w="1728"/>
          </w:tcPr>
          <w:p>
            <w:r>
              <w:rPr>
                <w:sz w:val="14"/>
              </w:rPr>
              <w:t>Best retriever</w:t>
            </w:r>
          </w:p>
        </w:tc>
        <w:tc>
          <w:tcPr>
            <w:tcW w:type="dxa" w:w="1728"/>
          </w:tcPr>
          <w:p>
            <w:r>
              <w:rPr>
                <w:sz w:val="14"/>
              </w:rPr>
              <w:t>Retrieval + generation labels</w:t>
            </w:r>
          </w:p>
        </w:tc>
        <w:tc>
          <w:tcPr>
            <w:tcW w:type="dxa" w:w="1728"/>
          </w:tcPr>
          <w:p>
            <w:r>
              <w:rPr>
                <w:sz w:val="14"/>
              </w:rPr>
              <w:t>No</w:t>
            </w:r>
          </w:p>
        </w:tc>
        <w:tc>
          <w:tcPr>
            <w:tcW w:type="dxa" w:w="1728"/>
          </w:tcPr>
          <w:p>
            <w:r>
              <w:rPr>
                <w:sz w:val="14"/>
              </w:rPr>
              <w:t>No</w:t>
            </w:r>
          </w:p>
        </w:tc>
      </w:tr>
      <w:tr>
        <w:trPr>
          <w:cantSplit/>
        </w:trPr>
        <w:tc>
          <w:tcPr>
            <w:tcW w:type="dxa" w:w="1728"/>
          </w:tcPr>
          <w:p>
            <w:r>
              <w:rPr>
                <w:sz w:val="14"/>
              </w:rPr>
              <w:t>ContextualRouter (Varangot-Reille et al., 2026)</w:t>
            </w:r>
          </w:p>
        </w:tc>
        <w:tc>
          <w:tcPr>
            <w:tcW w:type="dxa" w:w="1728"/>
          </w:tcPr>
          <w:p>
            <w:r>
              <w:rPr>
                <w:sz w:val="14"/>
              </w:rPr>
              <w:t>Best model/retriever</w:t>
            </w:r>
          </w:p>
        </w:tc>
        <w:tc>
          <w:tcPr>
            <w:tcW w:type="dxa" w:w="1728"/>
          </w:tcPr>
          <w:p>
            <w:r>
              <w:rPr>
                <w:sz w:val="14"/>
              </w:rPr>
              <w:t>Past absolute performance</w:t>
            </w:r>
          </w:p>
        </w:tc>
        <w:tc>
          <w:tcPr>
            <w:tcW w:type="dxa" w:w="1728"/>
          </w:tcPr>
          <w:p>
            <w:r>
              <w:rPr>
                <w:sz w:val="14"/>
              </w:rPr>
              <w:t>No</w:t>
            </w:r>
          </w:p>
        </w:tc>
        <w:tc>
          <w:tcPr>
            <w:tcW w:type="dxa" w:w="1728"/>
          </w:tcPr>
          <w:p>
            <w:r>
              <w:rPr>
                <w:sz w:val="14"/>
              </w:rPr>
              <w:t>No</w:t>
            </w:r>
          </w:p>
        </w:tc>
      </w:tr>
      <w:tr>
        <w:trPr>
          <w:cantSplit/>
        </w:trPr>
        <w:tc>
          <w:tcPr>
            <w:tcW w:type="dxa" w:w="1728"/>
          </w:tcPr>
          <w:p>
            <w:r>
              <w:rPr>
                <w:sz w:val="14"/>
              </w:rPr>
              <w:t>BiblioGuard (this paper)</w:t>
            </w:r>
          </w:p>
        </w:tc>
        <w:tc>
          <w:tcPr>
            <w:tcW w:type="dxa" w:w="1728"/>
          </w:tcPr>
          <w:p>
            <w:r>
              <w:rPr>
                <w:sz w:val="14"/>
              </w:rPr>
              <w:t>Incremental metadata effect</w:t>
            </w:r>
          </w:p>
        </w:tc>
        <w:tc>
          <w:tcPr>
            <w:tcW w:type="dxa" w:w="1728"/>
          </w:tcPr>
          <w:p>
            <w:r>
              <w:rPr>
                <w:sz w:val="14"/>
              </w:rPr>
              <w:t>Past paired query effects</w:t>
            </w:r>
          </w:p>
        </w:tc>
        <w:tc>
          <w:tcPr>
            <w:tcW w:type="dxa" w:w="1728"/>
          </w:tcPr>
          <w:p>
            <w:r>
              <w:rPr>
                <w:sz w:val="14"/>
              </w:rPr>
              <w:t>Yes, over nine actions</w:t>
            </w:r>
          </w:p>
        </w:tc>
        <w:tc>
          <w:tcPr>
            <w:tcW w:type="dxa" w:w="1728"/>
          </w:tcPr>
          <w:p>
            <w:r>
              <w:rPr>
                <w:sz w:val="14"/>
              </w:rPr>
              <w:t>Yes, to BGE-Hybrid</w:t>
            </w:r>
          </w:p>
        </w:tc>
      </w:tr>
    </w:tbl>
    <w:p/>
    <w:p>
      <w:r>
        <w:rPr>
          <w:b/>
          <w:i w:val="0"/>
          <w:sz w:val="24"/>
        </w:rPr>
        <w:t>3. The deployed academic writing assistant</w:t>
      </w:r>
    </w:p>
    <w:p>
      <w:r>
        <w:rPr>
          <w:b w:val="0"/>
          <w:i w:val="0"/>
          <w:sz w:val="22"/>
        </w:rPr>
        <w:t>The system under study is a web-based academic reading and writing assistant (name and URL withheld for anonymous review) that operationalises the retrieval stack evaluated in this paper. Users upload papers, chat with an AI assistant grounded in their library, manage highlights and AI-generated summaries, and draft writing projects with citation support. The system serves real users in production.</w:t>
      </w:r>
    </w:p>
    <w:p>
      <w:r>
        <w:rPr>
          <w:b w:val="0"/>
          <w:i w:val="0"/>
          <w:sz w:val="22"/>
        </w:rPr>
        <w:t>Fig. 1 shows the architecture. A React 18 single-page application communicates over HTTPS with an Nginx 1.18 reverse proxy that serves static assets and forwards API calls—including server-sent-event (SSE) token streams—to a Node.js 20 / Express backend supervised by PM2. Persistent state (users, papers, conversations, messages, highlights, summaries) lives in MySQL 8.0 behind the Drizzle ORM. The RAG orchestration layer chunks uploaded papers, embeds passages, runs the hybrid retrieval and metadata re-ranking pipeline evaluated here, and assembles a cited context of five passages that is streamed to the DeepSeek chat model (deepseek-chat; DeepSeek-AI, 2024) for answer generation.</w:t>
      </w:r>
    </w:p>
    <w:p>
      <w:r>
        <w:rPr>
          <w:b w:val="0"/>
          <w:i w:val="0"/>
          <w:sz w:val="22"/>
        </w:rPr>
        <w:t>Two deployment constraints shaped the retrieval design. First, the production server is a commodity virtual machine (2 vCPU, 1.6 GB RAM) with no GPU, ruling out cross-encoder re-ranking at query time and motivating the CPU-efficient configurations evaluated in this study. Second, answers must stream interactively, so retrieval plus re-ranking must stay well under one second—satisfied by all ten configurations (Section 6.7).</w:t>
      </w:r>
    </w:p>
    <w:p>
      <w:r>
        <w:drawing>
          <wp:inline xmlns:a="http://schemas.openxmlformats.org/drawingml/2006/main" xmlns:pic="http://schemas.openxmlformats.org/drawingml/2006/picture">
            <wp:extent cx="5486400" cy="3292718"/>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292718"/>
                    </a:xfrm>
                    <a:prstGeom prst="rect"/>
                  </pic:spPr>
                </pic:pic>
              </a:graphicData>
            </a:graphic>
          </wp:inline>
        </w:drawing>
      </w:r>
    </w:p>
    <w:p>
      <w:r>
        <w:rPr>
          <w:b w:val="0"/>
          <w:i/>
          <w:sz w:val="18"/>
        </w:rPr>
        <w:t>Fig. 1. Architecture and deployment boundary of the deployed academic writing assistant (system anonymized for review).</w:t>
      </w:r>
    </w:p>
    <w:p>
      <w:r>
        <w:rPr>
          <w:b/>
          <w:i w:val="0"/>
          <w:sz w:val="24"/>
        </w:rPr>
        <w:t>4. Retrieval actions and BiblioGuard</w:t>
      </w:r>
    </w:p>
    <w:p>
      <w:r>
        <w:rPr>
          <w:b/>
          <w:i w:val="0"/>
          <w:sz w:val="22"/>
        </w:rPr>
        <w:t>4.1. Content-based retrieval</w:t>
      </w:r>
    </w:p>
    <w:p>
      <w:r>
        <w:rPr>
          <w:b w:val="0"/>
          <w:i w:val="0"/>
          <w:sz w:val="22"/>
        </w:rPr>
        <w:t>BM25 (Robertson &amp; Zaragoza, 2009) scores documents with k1 = 1.5, b = 0.75 over whitespace- and punctuation-tokenised title-plus-abstract text. LSA-Dense projects a 50,000-feature TF-IDF space to 384 dimensions with truncated SVD (latent semantic analysis; Deerwester et al., 1990). SBERT-Dense encodes the same text with all-MiniLM-L6-v2 (Reimers &amp; Gurevych, 2019; Wang et al., 2020) (384-dim, L2-normalised, inner-product similarity). BGE-Dense replaces the encoder with BGE-small-en-v1.5 (Xiao et al., 2023), a 12-layer 384-dim model roughly twice the depth of MiniLM, used with its official query instruction prefix. Neural-Hybrid fuses BM25 and SBERT-Dense with equal weights on min-max-normalised scores, and BGE-Hybrid is the same equal-weight fusion on the BGE backbone. To test whether metadata effects depend on the strength of the dense backbone, BGE-CA-HR applies the CA-HR re-ranking rule (Section 4.2) to the BGE hybrid instead of the MiniLM hybrid.</w:t>
      </w:r>
    </w:p>
    <w:p>
      <w:r>
        <w:rPr>
          <w:b/>
          <w:i w:val="0"/>
          <w:sz w:val="22"/>
        </w:rPr>
        <w:t>4.2. Metadata-aware variants</w:t>
      </w:r>
    </w:p>
    <w:p>
      <w:r>
        <w:rPr>
          <w:b w:val="0"/>
          <w:i w:val="0"/>
          <w:sz w:val="22"/>
        </w:rPr>
        <w:t>Three configurations add bibliographic signals. UMA-RAG augments the hybrid score uniformly with venue prestige V(d) and citation authority C(d). LP-RAG multiplies the hybrid score by a length prior 1 + eta * exp(-len(d)/mu), which smoothly down-weights longer documents: shorter documents receive up to a 1 + eta boost that decays exponentially with document length. CA-HR forms the hybrid base score Sₕ(q,d) = α Ssparse(q,d) + (1−α) Sdense(q,d), with α = 0.6, takes the top-100 candidates, and re-ranks by SCA(q,d) = Sₕ(q,d) + β C(d) + γ R(d), where C(d) = log[1+c(d)] / maxⱼ log[1+c(j)] is corpus-normalised citation authority and R(d) = exp[-λ(tref−t(d))] is an exponential recency term (λ = 0.1 per year, tref = 2024), with β = 0.15 and γ = 0.10. Citation counts, years, and venues are real API values; documents without a matched record receive c(d) = 0 and the corpus median year, mirroring how a deployed system must handle missing metadata.</w:t>
      </w:r>
    </w:p>
    <w:p>
      <w:r>
        <w:rPr>
          <w:b/>
          <w:i w:val="0"/>
          <w:sz w:val="22"/>
        </w:rPr>
        <w:t>4.3. BiblioGuard: confidence-gated paired-effect routing</w:t>
      </w:r>
    </w:p>
    <w:p>
      <w:r>
        <w:rPr>
          <w:b w:val="0"/>
          <w:i w:val="0"/>
          <w:sz w:val="22"/>
        </w:rPr>
        <w:t>Decision problem. Let a₀ denote the metadata-free BGE-Hybrid fallback (0.5 BM25 + 0.5 BGE after per-query min-max normalisation). The action family A contains nine single-signal CA-HR configurations: five citation actions beta in {0.05, 0.10, 0.15, 0.20, 0.30} with gamma = 0 and four recency actions gamma in {0.05, 0.10, 0.15, 0.20} with beta = 0. Each intervention uses CA-HR's 0.6 BM25 + 0.4 BGE candidate score and re-ranks its top 100. Thus the estimand is the total effect of switching from the deployed fallback to a single-metadata configuration; it does not attribute the full contrast to metadata alone. The beta = gamma = 0 configuration is retained as a fusion-weight control in Section 6.5 but is not an intervention.</w:t>
      </w:r>
    </w:p>
    <w:p>
      <w:r>
        <w:rPr>
          <w:b w:val="0"/>
          <w:i w:val="0"/>
          <w:sz w:val="22"/>
        </w:rPr>
        <w:t>Local paired effects. For every labelled historical query qᵢ and action a, define Δᵢ(a) = NDCGᵢ@10(a) − NDCGᵢ@10(a₀). Query text is represented by the concatenation of word TF-IDF uni-/bi-grams and character-boundary TF-IDF 3-5-grams. Both vectorisers are fitted only on the training part of a fold. For a held-out query q, BiblioGuard retrieves k = ⌈√ntrain⌉ cosine-nearest training queries. Non-negative similarities receive a 0.001 stabiliser and are normalised to weights wᵢ. The local paired-effect estimator is Δ̂q(a) = Σᵢ wᵢΔᵢ(a), with effective sample size neff = 1/Σᵢwᵢ². Its weighted variance is v̂q(a) = Σᵢwᵢ[Δᵢ(a)−Δ̂q(a)]² and standard error seq(a) = √[v̂q(a)/neff].</w:t>
      </w:r>
    </w:p>
    <w:p>
      <w:r>
        <w:rPr>
          <w:b w:val="0"/>
          <w:i w:val="0"/>
          <w:sz w:val="22"/>
        </w:rPr>
        <w:t>Simultaneous confidence gate. With family alpha = 0.05 and |A| = 9, the one-sided lower bound is Lq(a) = Δ̂q(a) − t(1−α/|A|, ⌊neff⌋−1) seq(a). The policy chooses the action with the largest lower bound only if maxₐ Lq(a) &gt; 0; otherwise it returns a₀. Bonferroni correction makes the gate deliberately conservative across the nine actions. Because neighbours are selected by similarity rather than sampled i.i.d., L is an operational uncertainty score, not a distribution-free coverage guarantee.</w:t>
      </w:r>
    </w:p>
    <w:p>
      <w:r>
        <w:rPr>
          <w:b w:val="0"/>
          <w:i/>
          <w:sz w:val="18"/>
        </w:rPr>
        <w:t>Algorithm 1. Cross-fitted BiblioGuard decision for held-out query q.</w:t>
      </w:r>
    </w:p>
    <w:tbl>
      <w:tblPr>
        <w:tblStyle w:val="TableGrid"/>
        <w:tblW w:type="auto" w:w="0"/>
        <w:tblLook w:firstColumn="1" w:firstRow="1" w:lastColumn="0" w:lastRow="0" w:noHBand="0" w:noVBand="1" w:val="04A0"/>
      </w:tblPr>
      <w:tblGrid>
        <w:gridCol w:w="4320"/>
        <w:gridCol w:w="4320"/>
      </w:tblGrid>
      <w:tr>
        <w:trPr>
          <w:cantSplit/>
          <w:tblHeader/>
        </w:trPr>
        <w:tc>
          <w:tcPr>
            <w:tcW w:type="dxa" w:w="4320"/>
          </w:tcPr>
          <w:p>
            <w:r>
              <w:rPr>
                <w:b/>
                <w:sz w:val="16"/>
              </w:rPr>
              <w:t>Step</w:t>
            </w:r>
          </w:p>
        </w:tc>
        <w:tc>
          <w:tcPr>
            <w:tcW w:type="dxa" w:w="4320"/>
          </w:tcPr>
          <w:p>
            <w:r>
              <w:rPr>
                <w:b/>
                <w:sz w:val="16"/>
              </w:rPr>
              <w:t>Operation</w:t>
            </w:r>
          </w:p>
        </w:tc>
      </w:tr>
      <w:tr>
        <w:trPr>
          <w:cantSplit/>
        </w:trPr>
        <w:tc>
          <w:tcPr>
            <w:tcW w:type="dxa" w:w="4320"/>
          </w:tcPr>
          <w:p>
            <w:r>
              <w:rPr>
                <w:sz w:val="16"/>
              </w:rPr>
              <w:t>1</w:t>
            </w:r>
          </w:p>
        </w:tc>
        <w:tc>
          <w:tcPr>
            <w:tcW w:type="dxa" w:w="4320"/>
          </w:tcPr>
          <w:p>
            <w:r>
              <w:rPr>
                <w:sz w:val="16"/>
              </w:rPr>
              <w:t>Fit word/character TF-IDF on training-query text only.</w:t>
            </w:r>
          </w:p>
        </w:tc>
      </w:tr>
      <w:tr>
        <w:trPr>
          <w:cantSplit/>
        </w:trPr>
        <w:tc>
          <w:tcPr>
            <w:tcW w:type="dxa" w:w="4320"/>
          </w:tcPr>
          <w:p>
            <w:r>
              <w:rPr>
                <w:sz w:val="16"/>
              </w:rPr>
              <w:t>2</w:t>
            </w:r>
          </w:p>
        </w:tc>
        <w:tc>
          <w:tcPr>
            <w:tcW w:type="dxa" w:w="4320"/>
          </w:tcPr>
          <w:p>
            <w:r>
              <w:rPr>
                <w:sz w:val="16"/>
              </w:rPr>
              <w:t>Retrieve k cosine-nearest training queries for q.</w:t>
            </w:r>
          </w:p>
        </w:tc>
      </w:tr>
      <w:tr>
        <w:trPr>
          <w:cantSplit/>
        </w:trPr>
        <w:tc>
          <w:tcPr>
            <w:tcW w:type="dxa" w:w="4320"/>
          </w:tcPr>
          <w:p>
            <w:r>
              <w:rPr>
                <w:sz w:val="16"/>
              </w:rPr>
              <w:t>3</w:t>
            </w:r>
          </w:p>
        </w:tc>
        <w:tc>
          <w:tcPr>
            <w:tcW w:type="dxa" w:w="4320"/>
          </w:tcPr>
          <w:p>
            <w:r>
              <w:rPr>
                <w:sz w:val="16"/>
              </w:rPr>
              <w:t>Estimate nine similarity-weighted paired NDCG@10 effects.</w:t>
            </w:r>
          </w:p>
        </w:tc>
      </w:tr>
      <w:tr>
        <w:trPr>
          <w:cantSplit/>
        </w:trPr>
        <w:tc>
          <w:tcPr>
            <w:tcW w:type="dxa" w:w="4320"/>
          </w:tcPr>
          <w:p>
            <w:r>
              <w:rPr>
                <w:sz w:val="16"/>
              </w:rPr>
              <w:t>4</w:t>
            </w:r>
          </w:p>
        </w:tc>
        <w:tc>
          <w:tcPr>
            <w:tcW w:type="dxa" w:w="4320"/>
          </w:tcPr>
          <w:p>
            <w:r>
              <w:rPr>
                <w:sz w:val="16"/>
              </w:rPr>
              <w:t>Compute Bonferroni-adjusted one-sided lower bounds.</w:t>
            </w:r>
          </w:p>
        </w:tc>
      </w:tr>
      <w:tr>
        <w:trPr>
          <w:cantSplit/>
        </w:trPr>
        <w:tc>
          <w:tcPr>
            <w:tcW w:type="dxa" w:w="4320"/>
          </w:tcPr>
          <w:p>
            <w:r>
              <w:rPr>
                <w:sz w:val="16"/>
              </w:rPr>
              <w:t>5</w:t>
            </w:r>
          </w:p>
        </w:tc>
        <w:tc>
          <w:tcPr>
            <w:tcW w:type="dxa" w:w="4320"/>
          </w:tcPr>
          <w:p>
            <w:r>
              <w:rPr>
                <w:sz w:val="16"/>
              </w:rPr>
              <w:t>Select argmax L if max L &gt; 0; otherwise return BGE-Hybrid.</w:t>
            </w:r>
          </w:p>
        </w:tc>
      </w:tr>
      <w:tr>
        <w:trPr>
          <w:cantSplit/>
        </w:trPr>
        <w:tc>
          <w:tcPr>
            <w:tcW w:type="dxa" w:w="4320"/>
          </w:tcPr>
          <w:p>
            <w:r>
              <w:rPr>
                <w:sz w:val="16"/>
              </w:rPr>
              <w:t>6</w:t>
            </w:r>
          </w:p>
        </w:tc>
        <w:tc>
          <w:tcPr>
            <w:tcW w:type="dxa" w:w="4320"/>
          </w:tcPr>
          <w:p>
            <w:r>
              <w:rPr>
                <w:sz w:val="16"/>
              </w:rPr>
              <w:t>Log action, effect estimate, lower bound, k, and critical value.</w:t>
            </w:r>
          </w:p>
        </w:tc>
      </w:tr>
    </w:tbl>
    <w:p/>
    <w:p>
      <w:r>
        <w:rPr>
          <w:b w:val="0"/>
          <w:i w:val="0"/>
          <w:sz w:val="22"/>
        </w:rPr>
        <w:t>Evaluation and complexity. We use shuffled five-fold cross-fitting (seed 42); a held-out query's relevance judgments are never used in its vectorisation, neighbour set, effect estimate, or decision. The unconstrained ablation keeps the same neighbours and paired estimator but selects the largest positive mean effect without a lower-bound test. Given cached action outcomes, inference costs one sparse cosine search and O(k|A|) effect aggregation. A new domain with no labelled history takes the explicit cold-start path a₀ rather than extrapolating a metadata policy.</w:t>
      </w:r>
    </w:p>
    <w:p>
      <w:r>
        <w:rPr>
          <w:b/>
          <w:i w:val="0"/>
          <w:sz w:val="24"/>
        </w:rPr>
        <w:t>5. Experimental setup</w:t>
      </w:r>
    </w:p>
    <w:p>
      <w:r>
        <w:rPr>
          <w:b/>
          <w:i w:val="0"/>
          <w:sz w:val="22"/>
        </w:rPr>
        <w:t>5.1. Datasets</w:t>
      </w:r>
    </w:p>
    <w:p>
      <w:r>
        <w:rPr>
          <w:b w:val="0"/>
          <w:i/>
          <w:sz w:val="18"/>
        </w:rPr>
        <w:t>Table 2. Datasets and real-metadata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1234"/>
          </w:tcPr>
          <w:p>
            <w:r>
              <w:rPr>
                <w:b/>
                <w:sz w:val="16"/>
              </w:rPr>
              <w:t>Dataset</w:t>
            </w:r>
          </w:p>
        </w:tc>
        <w:tc>
          <w:tcPr>
            <w:tcW w:type="dxa" w:w="1234"/>
          </w:tcPr>
          <w:p>
            <w:r>
              <w:rPr>
                <w:b/>
                <w:sz w:val="16"/>
              </w:rPr>
              <w:t>Domain</w:t>
            </w:r>
          </w:p>
        </w:tc>
        <w:tc>
          <w:tcPr>
            <w:tcW w:type="dxa" w:w="1234"/>
          </w:tcPr>
          <w:p>
            <w:r>
              <w:rPr>
                <w:b/>
                <w:sz w:val="16"/>
              </w:rPr>
              <w:t>Docs</w:t>
            </w:r>
          </w:p>
        </w:tc>
        <w:tc>
          <w:tcPr>
            <w:tcW w:type="dxa" w:w="1234"/>
          </w:tcPr>
          <w:p>
            <w:r>
              <w:rPr>
                <w:b/>
                <w:sz w:val="16"/>
              </w:rPr>
              <w:t>Queries</w:t>
            </w:r>
          </w:p>
        </w:tc>
        <w:tc>
          <w:tcPr>
            <w:tcW w:type="dxa" w:w="1234"/>
          </w:tcPr>
          <w:p>
            <w:r>
              <w:rPr>
                <w:b/>
                <w:sz w:val="16"/>
              </w:rPr>
              <w:t>Citation cov.</w:t>
            </w:r>
          </w:p>
        </w:tc>
        <w:tc>
          <w:tcPr>
            <w:tcW w:type="dxa" w:w="1234"/>
          </w:tcPr>
          <w:p>
            <w:r>
              <w:rPr>
                <w:b/>
                <w:sz w:val="16"/>
              </w:rPr>
              <w:t>Year cov.</w:t>
            </w:r>
          </w:p>
        </w:tc>
        <w:tc>
          <w:tcPr>
            <w:tcW w:type="dxa" w:w="1234"/>
          </w:tcPr>
          <w:p>
            <w:r>
              <w:rPr>
                <w:b/>
                <w:sz w:val="16"/>
              </w:rPr>
              <w:t>Venue cov.</w:t>
            </w:r>
          </w:p>
        </w:tc>
      </w:tr>
      <w:tr>
        <w:trPr>
          <w:cantSplit/>
        </w:trPr>
        <w:tc>
          <w:tcPr>
            <w:tcW w:type="dxa" w:w="1234"/>
          </w:tcPr>
          <w:p>
            <w:r>
              <w:rPr>
                <w:sz w:val="16"/>
              </w:rPr>
              <w:t>SCIDOCS</w:t>
            </w:r>
          </w:p>
        </w:tc>
        <w:tc>
          <w:tcPr>
            <w:tcW w:type="dxa" w:w="1234"/>
          </w:tcPr>
          <w:p>
            <w:r>
              <w:rPr>
                <w:sz w:val="16"/>
              </w:rPr>
              <w:t>computer science</w:t>
            </w:r>
          </w:p>
        </w:tc>
        <w:tc>
          <w:tcPr>
            <w:tcW w:type="dxa" w:w="1234"/>
          </w:tcPr>
          <w:p>
            <w:r>
              <w:rPr>
                <w:sz w:val="16"/>
              </w:rPr>
              <w:t>25,657</w:t>
            </w:r>
          </w:p>
        </w:tc>
        <w:tc>
          <w:tcPr>
            <w:tcW w:type="dxa" w:w="1234"/>
          </w:tcPr>
          <w:p>
            <w:r>
              <w:rPr>
                <w:sz w:val="16"/>
              </w:rPr>
              <w:t>1,000</w:t>
            </w:r>
          </w:p>
        </w:tc>
        <w:tc>
          <w:tcPr>
            <w:tcW w:type="dxa" w:w="1234"/>
          </w:tcPr>
          <w:p>
            <w:r>
              <w:rPr>
                <w:sz w:val="16"/>
              </w:rPr>
              <w:t>99.7%</w:t>
            </w:r>
          </w:p>
        </w:tc>
        <w:tc>
          <w:tcPr>
            <w:tcW w:type="dxa" w:w="1234"/>
          </w:tcPr>
          <w:p>
            <w:r>
              <w:rPr>
                <w:sz w:val="16"/>
              </w:rPr>
              <w:t>98.7%</w:t>
            </w:r>
          </w:p>
        </w:tc>
        <w:tc>
          <w:tcPr>
            <w:tcW w:type="dxa" w:w="1234"/>
          </w:tcPr>
          <w:p>
            <w:r>
              <w:rPr>
                <w:sz w:val="16"/>
              </w:rPr>
              <w:t>84.3%</w:t>
            </w:r>
          </w:p>
        </w:tc>
      </w:tr>
      <w:tr>
        <w:trPr>
          <w:cantSplit/>
        </w:trPr>
        <w:tc>
          <w:tcPr>
            <w:tcW w:type="dxa" w:w="1234"/>
          </w:tcPr>
          <w:p>
            <w:r>
              <w:rPr>
                <w:sz w:val="16"/>
              </w:rPr>
              <w:t>SciFact</w:t>
            </w:r>
          </w:p>
        </w:tc>
        <w:tc>
          <w:tcPr>
            <w:tcW w:type="dxa" w:w="1234"/>
          </w:tcPr>
          <w:p>
            <w:r>
              <w:rPr>
                <w:sz w:val="16"/>
              </w:rPr>
              <w:t>biomedical claims</w:t>
            </w:r>
          </w:p>
        </w:tc>
        <w:tc>
          <w:tcPr>
            <w:tcW w:type="dxa" w:w="1234"/>
          </w:tcPr>
          <w:p>
            <w:r>
              <w:rPr>
                <w:sz w:val="16"/>
              </w:rPr>
              <w:t>5,183</w:t>
            </w:r>
          </w:p>
        </w:tc>
        <w:tc>
          <w:tcPr>
            <w:tcW w:type="dxa" w:w="1234"/>
          </w:tcPr>
          <w:p>
            <w:r>
              <w:rPr>
                <w:sz w:val="16"/>
              </w:rPr>
              <w:t>300</w:t>
            </w:r>
          </w:p>
        </w:tc>
        <w:tc>
          <w:tcPr>
            <w:tcW w:type="dxa" w:w="1234"/>
          </w:tcPr>
          <w:p>
            <w:r>
              <w:rPr>
                <w:sz w:val="16"/>
              </w:rPr>
              <w:t>94.1%</w:t>
            </w:r>
          </w:p>
        </w:tc>
        <w:tc>
          <w:tcPr>
            <w:tcW w:type="dxa" w:w="1234"/>
          </w:tcPr>
          <w:p>
            <w:r>
              <w:rPr>
                <w:sz w:val="16"/>
              </w:rPr>
              <w:t>93.8%</w:t>
            </w:r>
          </w:p>
        </w:tc>
        <w:tc>
          <w:tcPr>
            <w:tcW w:type="dxa" w:w="1234"/>
          </w:tcPr>
          <w:p>
            <w:r>
              <w:rPr>
                <w:sz w:val="16"/>
              </w:rPr>
              <w:t>90.5%</w:t>
            </w:r>
          </w:p>
        </w:tc>
      </w:tr>
      <w:tr>
        <w:trPr>
          <w:cantSplit/>
        </w:trPr>
        <w:tc>
          <w:tcPr>
            <w:tcW w:type="dxa" w:w="1234"/>
          </w:tcPr>
          <w:p>
            <w:r>
              <w:rPr>
                <w:sz w:val="16"/>
              </w:rPr>
              <w:t>NFCorpus</w:t>
            </w:r>
          </w:p>
        </w:tc>
        <w:tc>
          <w:tcPr>
            <w:tcW w:type="dxa" w:w="1234"/>
          </w:tcPr>
          <w:p>
            <w:r>
              <w:rPr>
                <w:sz w:val="16"/>
              </w:rPr>
              <w:t>nutrition / medicine</w:t>
            </w:r>
          </w:p>
        </w:tc>
        <w:tc>
          <w:tcPr>
            <w:tcW w:type="dxa" w:w="1234"/>
          </w:tcPr>
          <w:p>
            <w:r>
              <w:rPr>
                <w:sz w:val="16"/>
              </w:rPr>
              <w:t>3,633</w:t>
            </w:r>
          </w:p>
        </w:tc>
        <w:tc>
          <w:tcPr>
            <w:tcW w:type="dxa" w:w="1234"/>
          </w:tcPr>
          <w:p>
            <w:r>
              <w:rPr>
                <w:sz w:val="16"/>
              </w:rPr>
              <w:t>323</w:t>
            </w:r>
          </w:p>
        </w:tc>
        <w:tc>
          <w:tcPr>
            <w:tcW w:type="dxa" w:w="1234"/>
          </w:tcPr>
          <w:p>
            <w:r>
              <w:rPr>
                <w:sz w:val="16"/>
              </w:rPr>
              <w:t>94.0%</w:t>
            </w:r>
          </w:p>
        </w:tc>
        <w:tc>
          <w:tcPr>
            <w:tcW w:type="dxa" w:w="1234"/>
          </w:tcPr>
          <w:p>
            <w:r>
              <w:rPr>
                <w:sz w:val="16"/>
              </w:rPr>
              <w:t>94.0%</w:t>
            </w:r>
          </w:p>
        </w:tc>
        <w:tc>
          <w:tcPr>
            <w:tcW w:type="dxa" w:w="1234"/>
          </w:tcPr>
          <w:p>
            <w:r>
              <w:rPr>
                <w:sz w:val="16"/>
              </w:rPr>
              <w:t>94.0%</w:t>
            </w:r>
          </w:p>
        </w:tc>
      </w:tr>
      <w:tr>
        <w:trPr>
          <w:cantSplit/>
        </w:trPr>
        <w:tc>
          <w:tcPr>
            <w:tcW w:type="dxa" w:w="1234"/>
          </w:tcPr>
          <w:p>
            <w:r>
              <w:rPr>
                <w:sz w:val="16"/>
              </w:rPr>
              <w:t>TREC-COVID</w:t>
            </w:r>
          </w:p>
        </w:tc>
        <w:tc>
          <w:tcPr>
            <w:tcW w:type="dxa" w:w="1234"/>
          </w:tcPr>
          <w:p>
            <w:r>
              <w:rPr>
                <w:sz w:val="16"/>
              </w:rPr>
              <w:t>COVID-19 biomedicine</w:t>
            </w:r>
          </w:p>
        </w:tc>
        <w:tc>
          <w:tcPr>
            <w:tcW w:type="dxa" w:w="1234"/>
          </w:tcPr>
          <w:p>
            <w:r>
              <w:rPr>
                <w:sz w:val="16"/>
              </w:rPr>
              <w:t>171,332</w:t>
            </w:r>
          </w:p>
        </w:tc>
        <w:tc>
          <w:tcPr>
            <w:tcW w:type="dxa" w:w="1234"/>
          </w:tcPr>
          <w:p>
            <w:r>
              <w:rPr>
                <w:sz w:val="16"/>
              </w:rPr>
              <w:t>50</w:t>
            </w:r>
          </w:p>
        </w:tc>
        <w:tc>
          <w:tcPr>
            <w:tcW w:type="dxa" w:w="1234"/>
          </w:tcPr>
          <w:p>
            <w:r>
              <w:rPr>
                <w:sz w:val="16"/>
              </w:rPr>
              <w:t>69.8%</w:t>
            </w:r>
          </w:p>
        </w:tc>
        <w:tc>
          <w:tcPr>
            <w:tcW w:type="dxa" w:w="1234"/>
          </w:tcPr>
          <w:p>
            <w:r>
              <w:rPr>
                <w:sz w:val="16"/>
              </w:rPr>
              <w:t>96.4%</w:t>
            </w:r>
          </w:p>
        </w:tc>
        <w:tc>
          <w:tcPr>
            <w:tcW w:type="dxa" w:w="1234"/>
          </w:tcPr>
          <w:p>
            <w:r>
              <w:rPr>
                <w:sz w:val="16"/>
              </w:rPr>
              <w:t>92.5%</w:t>
            </w:r>
          </w:p>
        </w:tc>
      </w:tr>
    </w:tbl>
    <w:p/>
    <w:p>
      <w:r>
        <w:rPr>
          <w:b w:val="0"/>
          <w:i w:val="0"/>
          <w:sz w:val="22"/>
        </w:rPr>
        <w:t>We use four public benchmarks in BEIR format (Thakur et al., 2021): SCIDOCS (computer science; Cohan et al., 2020), SciFact (biomedical claim verification; Wadden et al., 2020), NFCorpus (nutrition and medicine; Boteva et al., 2016), and TREC-COVID (COVID-19 biomedicine; Voorhees et al., 2021). They span two orders of magnitude in corpus size (3.6k-171k documents) and four distinct domains, and—critically—differ in metadata coverage (Table 2): SCIDOCS is nearly complete (99.7%), SciFact and NFCorpus are high (94%), while TREC-COVID is genuinely sparse at 69.8% citation coverage, reflecting its many preprints. We treat this sparsity not as a defect to hide but as a property of real-world corpora that our cross-domain design is built to expose.</w:t>
      </w:r>
    </w:p>
    <w:p>
      <w:r>
        <w:rPr>
          <w:b/>
          <w:i w:val="0"/>
          <w:sz w:val="22"/>
        </w:rPr>
        <w:t>5.2. Bibliographic informativeness diagnostics</w:t>
      </w:r>
    </w:p>
    <w:p>
      <w:r>
        <w:rPr>
          <w:b w:val="0"/>
          <w:i/>
          <w:sz w:val="18"/>
        </w:rPr>
        <w:t>Table 3. Bibliographic informativeness diagnostics per corpus. Citation-relevance AUC = P(citations of a relevant document exceed those of a non-relevant one); non-relevant sets are judged non-relevant documents where available (SCIDOCS, TREC-COVID) and a seeded background sample otherwise (SciFact, NFCorpus).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cantSplit/>
          <w:tblHeader/>
        </w:trPr>
        <w:tc>
          <w:tcPr>
            <w:tcW w:type="dxa" w:w="1080"/>
          </w:tcPr>
          <w:p>
            <w:r>
              <w:rPr>
                <w:b/>
                <w:sz w:val="16"/>
              </w:rPr>
              <w:t>Dataset</w:t>
            </w:r>
          </w:p>
        </w:tc>
        <w:tc>
          <w:tcPr>
            <w:tcW w:type="dxa" w:w="1080"/>
          </w:tcPr>
          <w:p>
            <w:r>
              <w:rPr>
                <w:b/>
                <w:sz w:val="16"/>
              </w:rPr>
              <w:t>Cit. cov.</w:t>
            </w:r>
          </w:p>
        </w:tc>
        <w:tc>
          <w:tcPr>
            <w:tcW w:type="dxa" w:w="1080"/>
          </w:tcPr>
          <w:p>
            <w:r>
              <w:rPr>
                <w:b/>
                <w:sz w:val="16"/>
              </w:rPr>
              <w:t>Median cit.</w:t>
            </w:r>
          </w:p>
        </w:tc>
        <w:tc>
          <w:tcPr>
            <w:tcW w:type="dxa" w:w="1080"/>
          </w:tcPr>
          <w:p>
            <w:r>
              <w:rPr>
                <w:b/>
                <w:sz w:val="16"/>
              </w:rPr>
              <w:t>% zero-cit.</w:t>
            </w:r>
          </w:p>
        </w:tc>
        <w:tc>
          <w:tcPr>
            <w:tcW w:type="dxa" w:w="1080"/>
          </w:tcPr>
          <w:p>
            <w:r>
              <w:rPr>
                <w:b/>
                <w:sz w:val="16"/>
              </w:rPr>
              <w:t>Median age (yr)</w:t>
            </w:r>
          </w:p>
        </w:tc>
        <w:tc>
          <w:tcPr>
            <w:tcW w:type="dxa" w:w="1080"/>
          </w:tcPr>
          <w:p>
            <w:r>
              <w:rPr>
                <w:b/>
                <w:sz w:val="16"/>
              </w:rPr>
              <w:t>Rel. med. cit.</w:t>
            </w:r>
          </w:p>
        </w:tc>
        <w:tc>
          <w:tcPr>
            <w:tcW w:type="dxa" w:w="1080"/>
          </w:tcPr>
          <w:p>
            <w:r>
              <w:rPr>
                <w:b/>
                <w:sz w:val="16"/>
              </w:rPr>
              <w:t>Non-rel. med. cit.</w:t>
            </w:r>
          </w:p>
        </w:tc>
        <w:tc>
          <w:tcPr>
            <w:tcW w:type="dxa" w:w="1080"/>
          </w:tcPr>
          <w:p>
            <w:r>
              <w:rPr>
                <w:b/>
                <w:sz w:val="16"/>
              </w:rPr>
              <w:t>Cit.-rel. AUC</w:t>
            </w:r>
          </w:p>
        </w:tc>
      </w:tr>
      <w:tr>
        <w:trPr>
          <w:cantSplit/>
        </w:trPr>
        <w:tc>
          <w:tcPr>
            <w:tcW w:type="dxa" w:w="1080"/>
          </w:tcPr>
          <w:p>
            <w:r>
              <w:rPr>
                <w:sz w:val="16"/>
              </w:rPr>
              <w:t>SCIDOCS</w:t>
            </w:r>
          </w:p>
        </w:tc>
        <w:tc>
          <w:tcPr>
            <w:tcW w:type="dxa" w:w="1080"/>
          </w:tcPr>
          <w:p>
            <w:r>
              <w:rPr>
                <w:sz w:val="16"/>
              </w:rPr>
              <w:t>99.7%</w:t>
            </w:r>
          </w:p>
        </w:tc>
        <w:tc>
          <w:tcPr>
            <w:tcW w:type="dxa" w:w="1080"/>
          </w:tcPr>
          <w:p>
            <w:r>
              <w:rPr>
                <w:sz w:val="16"/>
              </w:rPr>
              <w:t>92</w:t>
            </w:r>
          </w:p>
        </w:tc>
        <w:tc>
          <w:tcPr>
            <w:tcW w:type="dxa" w:w="1080"/>
          </w:tcPr>
          <w:p>
            <w:r>
              <w:rPr>
                <w:sz w:val="16"/>
              </w:rPr>
              <w:t>2.4%</w:t>
            </w:r>
          </w:p>
        </w:tc>
        <w:tc>
          <w:tcPr>
            <w:tcW w:type="dxa" w:w="1080"/>
          </w:tcPr>
          <w:p>
            <w:r>
              <w:rPr>
                <w:sz w:val="16"/>
              </w:rPr>
              <w:t>11</w:t>
            </w:r>
          </w:p>
        </w:tc>
        <w:tc>
          <w:tcPr>
            <w:tcW w:type="dxa" w:w="1080"/>
          </w:tcPr>
          <w:p>
            <w:r>
              <w:rPr>
                <w:sz w:val="16"/>
              </w:rPr>
              <w:t>566</w:t>
            </w:r>
          </w:p>
        </w:tc>
        <w:tc>
          <w:tcPr>
            <w:tcW w:type="dxa" w:w="1080"/>
          </w:tcPr>
          <w:p>
            <w:r>
              <w:rPr>
                <w:sz w:val="16"/>
              </w:rPr>
              <w:t>71</w:t>
            </w:r>
          </w:p>
        </w:tc>
        <w:tc>
          <w:tcPr>
            <w:tcW w:type="dxa" w:w="1080"/>
          </w:tcPr>
          <w:p>
            <w:r>
              <w:rPr>
                <w:sz w:val="16"/>
              </w:rPr>
              <w:t>0.798</w:t>
            </w:r>
          </w:p>
        </w:tc>
      </w:tr>
      <w:tr>
        <w:trPr>
          <w:cantSplit/>
        </w:trPr>
        <w:tc>
          <w:tcPr>
            <w:tcW w:type="dxa" w:w="1080"/>
          </w:tcPr>
          <w:p>
            <w:r>
              <w:rPr>
                <w:sz w:val="16"/>
              </w:rPr>
              <w:t>SciFact</w:t>
            </w:r>
          </w:p>
        </w:tc>
        <w:tc>
          <w:tcPr>
            <w:tcW w:type="dxa" w:w="1080"/>
          </w:tcPr>
          <w:p>
            <w:r>
              <w:rPr>
                <w:sz w:val="16"/>
              </w:rPr>
              <w:t>94.1%</w:t>
            </w:r>
          </w:p>
        </w:tc>
        <w:tc>
          <w:tcPr>
            <w:tcW w:type="dxa" w:w="1080"/>
          </w:tcPr>
          <w:p>
            <w:r>
              <w:rPr>
                <w:sz w:val="16"/>
              </w:rPr>
              <w:t>181</w:t>
            </w:r>
          </w:p>
        </w:tc>
        <w:tc>
          <w:tcPr>
            <w:tcW w:type="dxa" w:w="1080"/>
          </w:tcPr>
          <w:p>
            <w:r>
              <w:rPr>
                <w:sz w:val="16"/>
              </w:rPr>
              <w:t>0.0%</w:t>
            </w:r>
          </w:p>
        </w:tc>
        <w:tc>
          <w:tcPr>
            <w:tcW w:type="dxa" w:w="1080"/>
          </w:tcPr>
          <w:p>
            <w:r>
              <w:rPr>
                <w:sz w:val="16"/>
              </w:rPr>
              <w:t>15</w:t>
            </w:r>
          </w:p>
        </w:tc>
        <w:tc>
          <w:tcPr>
            <w:tcW w:type="dxa" w:w="1080"/>
          </w:tcPr>
          <w:p>
            <w:r>
              <w:rPr>
                <w:sz w:val="16"/>
              </w:rPr>
              <w:t>254</w:t>
            </w:r>
          </w:p>
        </w:tc>
        <w:tc>
          <w:tcPr>
            <w:tcW w:type="dxa" w:w="1080"/>
          </w:tcPr>
          <w:p>
            <w:r>
              <w:rPr>
                <w:sz w:val="16"/>
              </w:rPr>
              <w:t>179</w:t>
            </w:r>
          </w:p>
        </w:tc>
        <w:tc>
          <w:tcPr>
            <w:tcW w:type="dxa" w:w="1080"/>
          </w:tcPr>
          <w:p>
            <w:r>
              <w:rPr>
                <w:sz w:val="16"/>
              </w:rPr>
              <w:t>0.582</w:t>
            </w:r>
          </w:p>
        </w:tc>
      </w:tr>
      <w:tr>
        <w:trPr>
          <w:cantSplit/>
        </w:trPr>
        <w:tc>
          <w:tcPr>
            <w:tcW w:type="dxa" w:w="1080"/>
          </w:tcPr>
          <w:p>
            <w:r>
              <w:rPr>
                <w:sz w:val="16"/>
              </w:rPr>
              <w:t>NFCorpus</w:t>
            </w:r>
          </w:p>
        </w:tc>
        <w:tc>
          <w:tcPr>
            <w:tcW w:type="dxa" w:w="1080"/>
          </w:tcPr>
          <w:p>
            <w:r>
              <w:rPr>
                <w:sz w:val="16"/>
              </w:rPr>
              <w:t>94.0%</w:t>
            </w:r>
          </w:p>
        </w:tc>
        <w:tc>
          <w:tcPr>
            <w:tcW w:type="dxa" w:w="1080"/>
          </w:tcPr>
          <w:p>
            <w:r>
              <w:rPr>
                <w:sz w:val="16"/>
              </w:rPr>
              <w:t>6</w:t>
            </w:r>
          </w:p>
        </w:tc>
        <w:tc>
          <w:tcPr>
            <w:tcW w:type="dxa" w:w="1080"/>
          </w:tcPr>
          <w:p>
            <w:r>
              <w:rPr>
                <w:sz w:val="16"/>
              </w:rPr>
              <w:t>27.4%</w:t>
            </w:r>
          </w:p>
        </w:tc>
        <w:tc>
          <w:tcPr>
            <w:tcW w:type="dxa" w:w="1080"/>
          </w:tcPr>
          <w:p>
            <w:r>
              <w:rPr>
                <w:sz w:val="16"/>
              </w:rPr>
              <w:t>48</w:t>
            </w:r>
          </w:p>
        </w:tc>
        <w:tc>
          <w:tcPr>
            <w:tcW w:type="dxa" w:w="1080"/>
          </w:tcPr>
          <w:p>
            <w:r>
              <w:rPr>
                <w:sz w:val="16"/>
              </w:rPr>
              <w:t>6</w:t>
            </w:r>
          </w:p>
        </w:tc>
        <w:tc>
          <w:tcPr>
            <w:tcW w:type="dxa" w:w="1080"/>
          </w:tcPr>
          <w:p>
            <w:r>
              <w:rPr>
                <w:sz w:val="16"/>
              </w:rPr>
              <w:t>5</w:t>
            </w:r>
          </w:p>
        </w:tc>
        <w:tc>
          <w:tcPr>
            <w:tcW w:type="dxa" w:w="1080"/>
          </w:tcPr>
          <w:p>
            <w:r>
              <w:rPr>
                <w:sz w:val="16"/>
              </w:rPr>
              <w:t>0.498</w:t>
            </w:r>
          </w:p>
        </w:tc>
      </w:tr>
      <w:tr>
        <w:trPr>
          <w:cantSplit/>
        </w:trPr>
        <w:tc>
          <w:tcPr>
            <w:tcW w:type="dxa" w:w="1080"/>
          </w:tcPr>
          <w:p>
            <w:r>
              <w:rPr>
                <w:sz w:val="16"/>
              </w:rPr>
              <w:t>TREC-COVID</w:t>
            </w:r>
          </w:p>
        </w:tc>
        <w:tc>
          <w:tcPr>
            <w:tcW w:type="dxa" w:w="1080"/>
          </w:tcPr>
          <w:p>
            <w:r>
              <w:rPr>
                <w:sz w:val="16"/>
              </w:rPr>
              <w:t>69.8%</w:t>
            </w:r>
          </w:p>
        </w:tc>
        <w:tc>
          <w:tcPr>
            <w:tcW w:type="dxa" w:w="1080"/>
          </w:tcPr>
          <w:p>
            <w:r>
              <w:rPr>
                <w:sz w:val="16"/>
              </w:rPr>
              <w:t>10</w:t>
            </w:r>
          </w:p>
        </w:tc>
        <w:tc>
          <w:tcPr>
            <w:tcW w:type="dxa" w:w="1080"/>
          </w:tcPr>
          <w:p>
            <w:r>
              <w:rPr>
                <w:sz w:val="16"/>
              </w:rPr>
              <w:t>34.7%</w:t>
            </w:r>
          </w:p>
        </w:tc>
        <w:tc>
          <w:tcPr>
            <w:tcW w:type="dxa" w:w="1080"/>
          </w:tcPr>
          <w:p>
            <w:r>
              <w:rPr>
                <w:sz w:val="16"/>
              </w:rPr>
              <w:t>5</w:t>
            </w:r>
          </w:p>
        </w:tc>
        <w:tc>
          <w:tcPr>
            <w:tcW w:type="dxa" w:w="1080"/>
          </w:tcPr>
          <w:p>
            <w:r>
              <w:rPr>
                <w:sz w:val="16"/>
              </w:rPr>
              <w:t>6</w:t>
            </w:r>
          </w:p>
        </w:tc>
        <w:tc>
          <w:tcPr>
            <w:tcW w:type="dxa" w:w="1080"/>
          </w:tcPr>
          <w:p>
            <w:r>
              <w:rPr>
                <w:sz w:val="16"/>
              </w:rPr>
              <w:t>16</w:t>
            </w:r>
          </w:p>
        </w:tc>
        <w:tc>
          <w:tcPr>
            <w:tcW w:type="dxa" w:w="1080"/>
          </w:tcPr>
          <w:p>
            <w:r>
              <w:rPr>
                <w:sz w:val="16"/>
              </w:rPr>
              <w:t>0.461</w:t>
            </w:r>
          </w:p>
        </w:tc>
      </w:tr>
    </w:tbl>
    <w:p/>
    <w:p>
      <w:r>
        <w:rPr>
          <w:b w:val="0"/>
          <w:i w:val="0"/>
          <w:sz w:val="22"/>
        </w:rPr>
        <w:t>Coverage alone does not explain where metadata helps: SciFact (94.1%) and NFCorpus (94.0%) have virtually identical citation coverage yet respond oppositely to citation-aware ranking. The discriminating variable is the citation-relevance association (Table 3). On SCIDOCS, relevant documents carry a median of 566 citations versus 71 for non-relevant ones (AUC = 0.798), so a citation prior genuinely separates relevant from non-relevant material. On SciFact the association is weak (AUC = 0.582). On NFCorpus it is absent entirely (AUC = 0.498, Mann-Whitney p = 0.55; medians 6 vs. 5), and on TREC-COVID it is inverted (AUC = 0.461): relevant COVID-19 documents are newer and less cited than the background literature (median 6 vs. 16 citations), because the benchmark rewards recent pandemic findings, not established ones. Across our four benchmarks, metadata utility therefore tracks the informativeness of the bibliographic signal, not how completely it covers the corpus.</w:t>
      </w:r>
    </w:p>
    <w:p>
      <w:r>
        <w:rPr>
          <w:b/>
          <w:i w:val="0"/>
          <w:sz w:val="22"/>
        </w:rPr>
        <w:t>5.3. Metadata acquisition</w:t>
      </w:r>
    </w:p>
    <w:p>
      <w:r>
        <w:rPr>
          <w:b w:val="0"/>
          <w:i w:val="0"/>
          <w:sz w:val="22"/>
        </w:rPr>
        <w:t>Citation counts, publication years, and venues were fetched from the Semantic Scholar API for SCIDOCS and SciFact (99.7% and 94.1% matched, respectively). For NFCorpus, PubMed identifiers were mapped through the Semantic Scholar batch endpoint (94.0% matched). For TREC-COVID, CORD-19 identifiers were resolved through the official metadata file to DOIs and PubMed identifiers, then enriched through the OpenAlex API (Priem et al., 2022), reaching 69.8% citation, 96.4% year, and 92.5% venue coverage. No metadata value is synthetic; unmatched documents receive neutral defaults (zero citations, corpus-median year) exactly as they would in production.</w:t>
      </w:r>
    </w:p>
    <w:p>
      <w:r>
        <w:rPr>
          <w:b/>
          <w:i w:val="0"/>
          <w:sz w:val="22"/>
        </w:rPr>
        <w:t>5.4. Metrics, significance, and compute</w:t>
      </w:r>
    </w:p>
    <w:p>
      <w:r>
        <w:rPr>
          <w:b w:val="0"/>
          <w:i w:val="0"/>
          <w:sz w:val="22"/>
        </w:rPr>
        <w:t>We report Recall@1/5/10, NDCG@10 with graded gains, and MRR on the official test judgments (documents judged non-relevant are excluded from the relevant sets). Significance uses the one-sided Wilcoxon signed-rank test over per-query scores with Cohen's d computed from the same per-query differences, so reported p-values and effect sizes are consistent by construction. To control the family-wise error rate, the revised paper pre-specifies one primary comparison per dataset: cross-fitted BiblioGuard versus its BGE-Hybrid fallback on NDCG@10 (four one-sided Wilcoxon tests, Holm-Bonferroni-corrected across domains). The confidence gate's internal Bonferroni correction over nine actions is separate from this evaluation-level correction. Retrieval-landscape, component ablation, robustness, sensitivity, unconstrained-routing, and generation comparisons are mechanism or exploratory analyses. The 30-combination metadata-weight grid was computed on the same judgments and is not confirmatory. All retrieval runs use a single CPU-only workstation. Measured per-query cost on the largest corpus (TREC-COVID, 171k documents): BM25 scoring averages 1,002 ms; dense scoring over precomputed embeddings and CA-HR re-ranking add under 2 ms per query. On the smaller corpora BM25 costs 7.6-97 ms per query. Query encoding (MiniLM) averages about 30 ms. Total online latency is therefore dominated by the LLM call, not retrieval.</w:t>
      </w:r>
    </w:p>
    <w:p>
      <w:r>
        <w:rPr>
          <w:b/>
          <w:i w:val="0"/>
          <w:sz w:val="24"/>
        </w:rPr>
        <w:t>6. Results</w:t>
      </w:r>
    </w:p>
    <w:p>
      <w:r>
        <w:rPr>
          <w:b/>
          <w:i w:val="0"/>
          <w:sz w:val="22"/>
        </w:rPr>
        <w:t>6.1. Primary BiblioGuard evaluation</w:t>
      </w:r>
    </w:p>
    <w:p>
      <w:r>
        <w:rPr>
          <w:b w:val="0"/>
          <w:i/>
          <w:sz w:val="18"/>
        </w:rPr>
        <w:t>Table 4. Cross-fitted BiblioGuard evaluation. Active rates are unconstrained / confidence-gated; p-values compare BiblioGuard with BGE-Hybrid and are Holm-adjusted across four domains.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1234"/>
          </w:tcPr>
          <w:p>
            <w:r>
              <w:rPr>
                <w:b/>
                <w:sz w:val="16"/>
              </w:rPr>
              <w:t>Dataset</w:t>
            </w:r>
          </w:p>
        </w:tc>
        <w:tc>
          <w:tcPr>
            <w:tcW w:type="dxa" w:w="1234"/>
          </w:tcPr>
          <w:p>
            <w:r>
              <w:rPr>
                <w:b/>
                <w:sz w:val="16"/>
              </w:rPr>
              <w:t>Fallback</w:t>
            </w:r>
          </w:p>
        </w:tc>
        <w:tc>
          <w:tcPr>
            <w:tcW w:type="dxa" w:w="1234"/>
          </w:tcPr>
          <w:p>
            <w:r>
              <w:rPr>
                <w:b/>
                <w:sz w:val="16"/>
              </w:rPr>
              <w:t>Without LCB</w:t>
            </w:r>
          </w:p>
        </w:tc>
        <w:tc>
          <w:tcPr>
            <w:tcW w:type="dxa" w:w="1234"/>
          </w:tcPr>
          <w:p>
            <w:r>
              <w:rPr>
                <w:b/>
                <w:sz w:val="16"/>
              </w:rPr>
              <w:t>BiblioGuard</w:t>
            </w:r>
          </w:p>
        </w:tc>
        <w:tc>
          <w:tcPr>
            <w:tcW w:type="dxa" w:w="1234"/>
          </w:tcPr>
          <w:p>
            <w:r>
              <w:rPr>
                <w:b/>
                <w:sz w:val="16"/>
              </w:rPr>
              <w:t>Active rate</w:t>
            </w:r>
          </w:p>
        </w:tc>
        <w:tc>
          <w:tcPr>
            <w:tcW w:type="dxa" w:w="1234"/>
          </w:tcPr>
          <w:p>
            <w:r>
              <w:rPr>
                <w:b/>
                <w:sz w:val="16"/>
              </w:rPr>
              <w:t>Guarded gain</w:t>
            </w:r>
          </w:p>
        </w:tc>
        <w:tc>
          <w:tcPr>
            <w:tcW w:type="dxa" w:w="1234"/>
          </w:tcPr>
          <w:p>
            <w:r>
              <w:rPr>
                <w:b/>
                <w:sz w:val="16"/>
              </w:rPr>
              <w:t>Holm p</w:t>
            </w:r>
          </w:p>
        </w:tc>
      </w:tr>
      <w:tr>
        <w:trPr>
          <w:cantSplit/>
        </w:trPr>
        <w:tc>
          <w:tcPr>
            <w:tcW w:type="dxa" w:w="1234"/>
          </w:tcPr>
          <w:p>
            <w:r>
              <w:rPr>
                <w:sz w:val="16"/>
              </w:rPr>
              <w:t>SCIDOCS</w:t>
            </w:r>
          </w:p>
        </w:tc>
        <w:tc>
          <w:tcPr>
            <w:tcW w:type="dxa" w:w="1234"/>
          </w:tcPr>
          <w:p>
            <w:r>
              <w:rPr>
                <w:sz w:val="16"/>
              </w:rPr>
              <w:t>0.1832</w:t>
            </w:r>
          </w:p>
        </w:tc>
        <w:tc>
          <w:tcPr>
            <w:tcW w:type="dxa" w:w="1234"/>
          </w:tcPr>
          <w:p>
            <w:r>
              <w:rPr>
                <w:sz w:val="16"/>
              </w:rPr>
              <w:t>0.2068</w:t>
            </w:r>
          </w:p>
        </w:tc>
        <w:tc>
          <w:tcPr>
            <w:tcW w:type="dxa" w:w="1234"/>
          </w:tcPr>
          <w:p>
            <w:r>
              <w:rPr>
                <w:sz w:val="16"/>
              </w:rPr>
              <w:t>0.1881</w:t>
            </w:r>
          </w:p>
        </w:tc>
        <w:tc>
          <w:tcPr>
            <w:tcW w:type="dxa" w:w="1234"/>
          </w:tcPr>
          <w:p>
            <w:r>
              <w:rPr>
                <w:sz w:val="16"/>
              </w:rPr>
              <w:t>96.8% / 18.7%</w:t>
            </w:r>
          </w:p>
        </w:tc>
        <w:tc>
          <w:tcPr>
            <w:tcW w:type="dxa" w:w="1234"/>
          </w:tcPr>
          <w:p>
            <w:r>
              <w:rPr>
                <w:sz w:val="16"/>
              </w:rPr>
              <w:t>+0.0049</w:t>
            </w:r>
          </w:p>
        </w:tc>
        <w:tc>
          <w:tcPr>
            <w:tcW w:type="dxa" w:w="1234"/>
          </w:tcPr>
          <w:p>
            <w:r>
              <w:rPr>
                <w:sz w:val="16"/>
              </w:rPr>
              <w:t>p &lt; 0.001</w:t>
            </w:r>
          </w:p>
        </w:tc>
      </w:tr>
      <w:tr>
        <w:trPr>
          <w:cantSplit/>
        </w:trPr>
        <w:tc>
          <w:tcPr>
            <w:tcW w:type="dxa" w:w="1234"/>
          </w:tcPr>
          <w:p>
            <w:r>
              <w:rPr>
                <w:sz w:val="16"/>
              </w:rPr>
              <w:t>SciFact</w:t>
            </w:r>
          </w:p>
        </w:tc>
        <w:tc>
          <w:tcPr>
            <w:tcW w:type="dxa" w:w="1234"/>
          </w:tcPr>
          <w:p>
            <w:r>
              <w:rPr>
                <w:sz w:val="16"/>
              </w:rPr>
              <w:t>0.7101</w:t>
            </w:r>
          </w:p>
        </w:tc>
        <w:tc>
          <w:tcPr>
            <w:tcW w:type="dxa" w:w="1234"/>
          </w:tcPr>
          <w:p>
            <w:r>
              <w:rPr>
                <w:sz w:val="16"/>
              </w:rPr>
              <w:t>0.7101</w:t>
            </w:r>
          </w:p>
        </w:tc>
        <w:tc>
          <w:tcPr>
            <w:tcW w:type="dxa" w:w="1234"/>
          </w:tcPr>
          <w:p>
            <w:r>
              <w:rPr>
                <w:sz w:val="16"/>
              </w:rPr>
              <w:t>0.7101</w:t>
            </w:r>
          </w:p>
        </w:tc>
        <w:tc>
          <w:tcPr>
            <w:tcW w:type="dxa" w:w="1234"/>
          </w:tcPr>
          <w:p>
            <w:r>
              <w:rPr>
                <w:sz w:val="16"/>
              </w:rPr>
              <w:t>67.3% / 0.0%</w:t>
            </w:r>
          </w:p>
        </w:tc>
        <w:tc>
          <w:tcPr>
            <w:tcW w:type="dxa" w:w="1234"/>
          </w:tcPr>
          <w:p>
            <w:r>
              <w:rPr>
                <w:sz w:val="16"/>
              </w:rPr>
              <w:t>+0.0000</w:t>
            </w:r>
          </w:p>
        </w:tc>
        <w:tc>
          <w:tcPr>
            <w:tcW w:type="dxa" w:w="1234"/>
          </w:tcPr>
          <w:p>
            <w:r>
              <w:rPr>
                <w:sz w:val="16"/>
              </w:rPr>
              <w:t>p = 1.000</w:t>
            </w:r>
          </w:p>
        </w:tc>
      </w:tr>
      <w:tr>
        <w:trPr>
          <w:cantSplit/>
        </w:trPr>
        <w:tc>
          <w:tcPr>
            <w:tcW w:type="dxa" w:w="1234"/>
          </w:tcPr>
          <w:p>
            <w:r>
              <w:rPr>
                <w:sz w:val="16"/>
              </w:rPr>
              <w:t>NFCorpus</w:t>
            </w:r>
          </w:p>
        </w:tc>
        <w:tc>
          <w:tcPr>
            <w:tcW w:type="dxa" w:w="1234"/>
          </w:tcPr>
          <w:p>
            <w:r>
              <w:rPr>
                <w:sz w:val="16"/>
              </w:rPr>
              <w:t>0.3487</w:t>
            </w:r>
          </w:p>
        </w:tc>
        <w:tc>
          <w:tcPr>
            <w:tcW w:type="dxa" w:w="1234"/>
          </w:tcPr>
          <w:p>
            <w:r>
              <w:rPr>
                <w:sz w:val="16"/>
              </w:rPr>
              <w:t>0.3454</w:t>
            </w:r>
          </w:p>
        </w:tc>
        <w:tc>
          <w:tcPr>
            <w:tcW w:type="dxa" w:w="1234"/>
          </w:tcPr>
          <w:p>
            <w:r>
              <w:rPr>
                <w:sz w:val="16"/>
              </w:rPr>
              <w:t>0.3487</w:t>
            </w:r>
          </w:p>
        </w:tc>
        <w:tc>
          <w:tcPr>
            <w:tcW w:type="dxa" w:w="1234"/>
          </w:tcPr>
          <w:p>
            <w:r>
              <w:rPr>
                <w:sz w:val="16"/>
              </w:rPr>
              <w:t>45.8% / 0.0%</w:t>
            </w:r>
          </w:p>
        </w:tc>
        <w:tc>
          <w:tcPr>
            <w:tcW w:type="dxa" w:w="1234"/>
          </w:tcPr>
          <w:p>
            <w:r>
              <w:rPr>
                <w:sz w:val="16"/>
              </w:rPr>
              <w:t>+0.0000</w:t>
            </w:r>
          </w:p>
        </w:tc>
        <w:tc>
          <w:tcPr>
            <w:tcW w:type="dxa" w:w="1234"/>
          </w:tcPr>
          <w:p>
            <w:r>
              <w:rPr>
                <w:sz w:val="16"/>
              </w:rPr>
              <w:t>p = 1.000</w:t>
            </w:r>
          </w:p>
        </w:tc>
      </w:tr>
      <w:tr>
        <w:trPr>
          <w:cantSplit/>
        </w:trPr>
        <w:tc>
          <w:tcPr>
            <w:tcW w:type="dxa" w:w="1234"/>
          </w:tcPr>
          <w:p>
            <w:r>
              <w:rPr>
                <w:sz w:val="16"/>
              </w:rPr>
              <w:t>TREC-COVID</w:t>
            </w:r>
          </w:p>
        </w:tc>
        <w:tc>
          <w:tcPr>
            <w:tcW w:type="dxa" w:w="1234"/>
          </w:tcPr>
          <w:p>
            <w:r>
              <w:rPr>
                <w:sz w:val="16"/>
              </w:rPr>
              <w:t>0.7115</w:t>
            </w:r>
          </w:p>
        </w:tc>
        <w:tc>
          <w:tcPr>
            <w:tcW w:type="dxa" w:w="1234"/>
          </w:tcPr>
          <w:p>
            <w:r>
              <w:rPr>
                <w:sz w:val="16"/>
              </w:rPr>
              <w:t>0.7000</w:t>
            </w:r>
          </w:p>
        </w:tc>
        <w:tc>
          <w:tcPr>
            <w:tcW w:type="dxa" w:w="1234"/>
          </w:tcPr>
          <w:p>
            <w:r>
              <w:rPr>
                <w:sz w:val="16"/>
              </w:rPr>
              <w:t>0.7115</w:t>
            </w:r>
          </w:p>
        </w:tc>
        <w:tc>
          <w:tcPr>
            <w:tcW w:type="dxa" w:w="1234"/>
          </w:tcPr>
          <w:p>
            <w:r>
              <w:rPr>
                <w:sz w:val="16"/>
              </w:rPr>
              <w:t>54.0% / 0.0%</w:t>
            </w:r>
          </w:p>
        </w:tc>
        <w:tc>
          <w:tcPr>
            <w:tcW w:type="dxa" w:w="1234"/>
          </w:tcPr>
          <w:p>
            <w:r>
              <w:rPr>
                <w:sz w:val="16"/>
              </w:rPr>
              <w:t>+0.0000</w:t>
            </w:r>
          </w:p>
        </w:tc>
        <w:tc>
          <w:tcPr>
            <w:tcW w:type="dxa" w:w="1234"/>
          </w:tcPr>
          <w:p>
            <w:r>
              <w:rPr>
                <w:sz w:val="16"/>
              </w:rPr>
              <w:t>p = 1.000</w:t>
            </w:r>
          </w:p>
        </w:tc>
      </w:tr>
    </w:tbl>
    <w:p/>
    <w:p>
      <w:r>
        <w:rPr>
          <w:b w:val="0"/>
          <w:i w:val="0"/>
          <w:sz w:val="22"/>
        </w:rPr>
        <w:t>BiblioGuard improves SCIDOCS from 0.1832 to 0.1881 NDCG@10 (+0.0049; 18.7% of queries activated; Holm-adjusted p = 1.3e-06; paired d = 0.139). The selected SCIDOCS actions are citation-only: beta = 0.30 on 141 queries, beta = 0.20 on 39, and beta = 0.15 on 7; 813 queries return the fallback. On SciFact, NFCorpus, and TREC-COVID no action clears the simultaneous lower bound, so the policy exactly reproduces BGE-Hybrid. Across the released four-domain evaluation this yields no negative mean transfer and a macro-average gain of +0.0012. This is an empirical result under the cross-fitted protocol, not a universal safety claim.</w:t>
      </w:r>
    </w:p>
    <w:p>
      <w:r>
        <w:rPr>
          <w:b w:val="0"/>
          <w:i w:val="0"/>
          <w:sz w:val="22"/>
        </w:rPr>
        <w:t>The confidence gate is consequential rather than cosmetic. Removing it activates 96.8% of SCIDOCS queries and reaches 0.2068 NDCG@10, but it also activates 67.3%, 45.8%, and 54.0% of queries on SciFact, NFCorpus, and TREC-COVID and changes NDCG@10 by -0.00003, -0.00339, and -0.01148. The guarded policy therefore trades some attainable SCIDOCS gain for abstention where local mean estimates are not strong enough after simultaneous uncertainty correction. Fig. 5 visualises this selectivity/performance trade-off.</w:t>
      </w:r>
    </w:p>
    <w:p>
      <w:r>
        <w:drawing>
          <wp:inline xmlns:a="http://schemas.openxmlformats.org/drawingml/2006/main" xmlns:pic="http://schemas.openxmlformats.org/drawingml/2006/picture">
            <wp:extent cx="4572000" cy="2159400"/>
            <wp:docPr id="2" name="Picture 2"/>
            <wp:cNvGraphicFramePr>
              <a:graphicFrameLocks noChangeAspect="1"/>
            </wp:cNvGraphicFramePr>
            <a:graphic>
              <a:graphicData uri="http://schemas.openxmlformats.org/drawingml/2006/picture">
                <pic:pic>
                  <pic:nvPicPr>
                    <pic:cNvPr id="0" name="Fig5_biblioguard.png"/>
                    <pic:cNvPicPr/>
                  </pic:nvPicPr>
                  <pic:blipFill>
                    <a:blip r:embed="rId10"/>
                    <a:stretch>
                      <a:fillRect/>
                    </a:stretch>
                  </pic:blipFill>
                  <pic:spPr>
                    <a:xfrm>
                      <a:off x="0" y="0"/>
                      <a:ext cx="4572000" cy="2159400"/>
                    </a:xfrm>
                    <a:prstGeom prst="rect"/>
                  </pic:spPr>
                </pic:pic>
              </a:graphicData>
            </a:graphic>
          </wp:inline>
        </w:drawing>
      </w:r>
    </w:p>
    <w:p>
      <w:r>
        <w:rPr>
          <w:b w:val="0"/>
          <w:i/>
          <w:sz w:val="18"/>
        </w:rPr>
        <w:t>Fig. 5. BGE-Hybrid, unconstrained paired-effect routing, and confidence-gated BiblioGuard. Labels show the guarded action rate.</w:t>
      </w:r>
    </w:p>
    <w:p>
      <w:r>
        <w:rPr>
          <w:b/>
          <w:i w:val="0"/>
          <w:sz w:val="22"/>
        </w:rPr>
        <w:t>6.2. Retrieval landscape and failure motivation</w:t>
      </w:r>
    </w:p>
    <w:p>
      <w:r>
        <w:rPr>
          <w:b w:val="0"/>
          <w:i/>
          <w:sz w:val="18"/>
        </w:rPr>
        <w:t>Table 5. Retrieval effectiveness: NDCG@10 / Recall@10 on the four test sets (best single method per dataset in bold in Fig. 2).</w:t>
      </w:r>
    </w:p>
    <w:tbl>
      <w:tblPr>
        <w:tblStyle w:val="TableGrid"/>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r>
              <w:rPr>
                <w:b/>
                <w:sz w:val="16"/>
              </w:rPr>
              <w:t>Method</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rPr>
          <w:cantSplit/>
        </w:trPr>
        <w:tc>
          <w:tcPr>
            <w:tcW w:type="dxa" w:w="1728"/>
          </w:tcPr>
          <w:p>
            <w:r>
              <w:rPr>
                <w:sz w:val="16"/>
              </w:rPr>
              <w:t>BM25</w:t>
            </w:r>
          </w:p>
        </w:tc>
        <w:tc>
          <w:tcPr>
            <w:tcW w:type="dxa" w:w="1728"/>
          </w:tcPr>
          <w:p>
            <w:r>
              <w:rPr>
                <w:sz w:val="16"/>
              </w:rPr>
              <w:t>0.1496 / 0.1547</w:t>
            </w:r>
          </w:p>
        </w:tc>
        <w:tc>
          <w:tcPr>
            <w:tcW w:type="dxa" w:w="1728"/>
          </w:tcPr>
          <w:p>
            <w:r>
              <w:rPr>
                <w:sz w:val="16"/>
              </w:rPr>
              <w:t>0.6496 / 0.7740</w:t>
            </w:r>
          </w:p>
        </w:tc>
        <w:tc>
          <w:tcPr>
            <w:tcW w:type="dxa" w:w="1728"/>
          </w:tcPr>
          <w:p>
            <w:r>
              <w:rPr>
                <w:sz w:val="16"/>
              </w:rPr>
              <w:t>0.3037 / 0.1510</w:t>
            </w:r>
          </w:p>
        </w:tc>
        <w:tc>
          <w:tcPr>
            <w:tcW w:type="dxa" w:w="1728"/>
          </w:tcPr>
          <w:p>
            <w:r>
              <w:rPr>
                <w:sz w:val="16"/>
              </w:rPr>
              <w:t>0.5826 / 0.0154</w:t>
            </w:r>
          </w:p>
        </w:tc>
      </w:tr>
      <w:tr>
        <w:trPr>
          <w:cantSplit/>
        </w:trPr>
        <w:tc>
          <w:tcPr>
            <w:tcW w:type="dxa" w:w="1728"/>
          </w:tcPr>
          <w:p>
            <w:r>
              <w:rPr>
                <w:sz w:val="16"/>
              </w:rPr>
              <w:t>LSA-Dense</w:t>
            </w:r>
          </w:p>
        </w:tc>
        <w:tc>
          <w:tcPr>
            <w:tcW w:type="dxa" w:w="1728"/>
          </w:tcPr>
          <w:p>
            <w:r>
              <w:rPr>
                <w:sz w:val="16"/>
              </w:rPr>
              <w:t>0.0867 / 0.0955</w:t>
            </w:r>
          </w:p>
        </w:tc>
        <w:tc>
          <w:tcPr>
            <w:tcW w:type="dxa" w:w="1728"/>
          </w:tcPr>
          <w:p>
            <w:r>
              <w:rPr>
                <w:sz w:val="16"/>
              </w:rPr>
              <w:t>0.4260 / 0.5846</w:t>
            </w:r>
          </w:p>
        </w:tc>
        <w:tc>
          <w:tcPr>
            <w:tcW w:type="dxa" w:w="1728"/>
          </w:tcPr>
          <w:p>
            <w:r>
              <w:rPr>
                <w:sz w:val="16"/>
              </w:rPr>
              <w:t>0.2726 / 0.1340</w:t>
            </w:r>
          </w:p>
        </w:tc>
        <w:tc>
          <w:tcPr>
            <w:tcW w:type="dxa" w:w="1728"/>
          </w:tcPr>
          <w:p>
            <w:r>
              <w:rPr>
                <w:sz w:val="16"/>
              </w:rPr>
              <w:t>0.2603 / 0.0057</w:t>
            </w:r>
          </w:p>
        </w:tc>
      </w:tr>
      <w:tr>
        <w:trPr>
          <w:cantSplit/>
        </w:trPr>
        <w:tc>
          <w:tcPr>
            <w:tcW w:type="dxa" w:w="1728"/>
          </w:tcPr>
          <w:p>
            <w:r>
              <w:rPr>
                <w:sz w:val="16"/>
              </w:rPr>
              <w:t>SBERT-Dense</w:t>
            </w:r>
          </w:p>
        </w:tc>
        <w:tc>
          <w:tcPr>
            <w:tcW w:type="dxa" w:w="1728"/>
          </w:tcPr>
          <w:p>
            <w:r>
              <w:rPr>
                <w:sz w:val="16"/>
              </w:rPr>
              <w:t>0.2164 / 0.2309</w:t>
            </w:r>
          </w:p>
        </w:tc>
        <w:tc>
          <w:tcPr>
            <w:tcW w:type="dxa" w:w="1728"/>
          </w:tcPr>
          <w:p>
            <w:r>
              <w:rPr>
                <w:sz w:val="16"/>
              </w:rPr>
              <w:t>0.6451 / 0.7833</w:t>
            </w:r>
          </w:p>
        </w:tc>
        <w:tc>
          <w:tcPr>
            <w:tcW w:type="dxa" w:w="1728"/>
          </w:tcPr>
          <w:p>
            <w:r>
              <w:rPr>
                <w:sz w:val="16"/>
              </w:rPr>
              <w:t>0.3160 / 0.1550</w:t>
            </w:r>
          </w:p>
        </w:tc>
        <w:tc>
          <w:tcPr>
            <w:tcW w:type="dxa" w:w="1728"/>
          </w:tcPr>
          <w:p>
            <w:r>
              <w:rPr>
                <w:sz w:val="16"/>
              </w:rPr>
              <w:t>0.4724 / 0.0128</w:t>
            </w:r>
          </w:p>
        </w:tc>
      </w:tr>
      <w:tr>
        <w:trPr>
          <w:cantSplit/>
        </w:trPr>
        <w:tc>
          <w:tcPr>
            <w:tcW w:type="dxa" w:w="1728"/>
          </w:tcPr>
          <w:p>
            <w:r>
              <w:rPr>
                <w:sz w:val="16"/>
              </w:rPr>
              <w:t>BGE-Dense</w:t>
            </w:r>
          </w:p>
        </w:tc>
        <w:tc>
          <w:tcPr>
            <w:tcW w:type="dxa" w:w="1728"/>
          </w:tcPr>
          <w:p>
            <w:r>
              <w:rPr>
                <w:sz w:val="16"/>
              </w:rPr>
              <w:t>0.2052 / 0.2164</w:t>
            </w:r>
          </w:p>
        </w:tc>
        <w:tc>
          <w:tcPr>
            <w:tcW w:type="dxa" w:w="1728"/>
          </w:tcPr>
          <w:p>
            <w:r>
              <w:rPr>
                <w:sz w:val="16"/>
              </w:rPr>
              <w:t>0.7127 / 0.8362</w:t>
            </w:r>
          </w:p>
        </w:tc>
        <w:tc>
          <w:tcPr>
            <w:tcW w:type="dxa" w:w="1728"/>
          </w:tcPr>
          <w:p>
            <w:r>
              <w:rPr>
                <w:sz w:val="16"/>
              </w:rPr>
              <w:t>0.3434 / 0.1620</w:t>
            </w:r>
          </w:p>
        </w:tc>
        <w:tc>
          <w:tcPr>
            <w:tcW w:type="dxa" w:w="1728"/>
          </w:tcPr>
          <w:p>
            <w:r>
              <w:rPr>
                <w:sz w:val="16"/>
              </w:rPr>
              <w:t>0.7578 / 0.0208</w:t>
            </w:r>
          </w:p>
        </w:tc>
      </w:tr>
      <w:tr>
        <w:trPr>
          <w:cantSplit/>
        </w:trPr>
        <w:tc>
          <w:tcPr>
            <w:tcW w:type="dxa" w:w="1728"/>
          </w:tcPr>
          <w:p>
            <w:r>
              <w:rPr>
                <w:sz w:val="16"/>
              </w:rPr>
              <w:t>Neural-Hybrid</w:t>
            </w:r>
          </w:p>
        </w:tc>
        <w:tc>
          <w:tcPr>
            <w:tcW w:type="dxa" w:w="1728"/>
          </w:tcPr>
          <w:p>
            <w:r>
              <w:rPr>
                <w:sz w:val="16"/>
              </w:rPr>
              <w:t>0.1942 / 0.2059</w:t>
            </w:r>
          </w:p>
        </w:tc>
        <w:tc>
          <w:tcPr>
            <w:tcW w:type="dxa" w:w="1728"/>
          </w:tcPr>
          <w:p>
            <w:r>
              <w:rPr>
                <w:sz w:val="16"/>
              </w:rPr>
              <w:t>0.7080 / 0.8209</w:t>
            </w:r>
          </w:p>
        </w:tc>
        <w:tc>
          <w:tcPr>
            <w:tcW w:type="dxa" w:w="1728"/>
          </w:tcPr>
          <w:p>
            <w:r>
              <w:rPr>
                <w:sz w:val="16"/>
              </w:rPr>
              <w:t>0.3417 / 0.1659</w:t>
            </w:r>
          </w:p>
        </w:tc>
        <w:tc>
          <w:tcPr>
            <w:tcW w:type="dxa" w:w="1728"/>
          </w:tcPr>
          <w:p>
            <w:r>
              <w:rPr>
                <w:sz w:val="16"/>
              </w:rPr>
              <w:t>0.6917 / 0.0182</w:t>
            </w:r>
          </w:p>
        </w:tc>
      </w:tr>
      <w:tr>
        <w:trPr>
          <w:cantSplit/>
        </w:trPr>
        <w:tc>
          <w:tcPr>
            <w:tcW w:type="dxa" w:w="1728"/>
          </w:tcPr>
          <w:p>
            <w:r>
              <w:rPr>
                <w:sz w:val="16"/>
              </w:rPr>
              <w:t>UMA-RAG</w:t>
            </w:r>
          </w:p>
        </w:tc>
        <w:tc>
          <w:tcPr>
            <w:tcW w:type="dxa" w:w="1728"/>
          </w:tcPr>
          <w:p>
            <w:r>
              <w:rPr>
                <w:sz w:val="16"/>
              </w:rPr>
              <w:t>0.1974 / 0.2088</w:t>
            </w:r>
          </w:p>
        </w:tc>
        <w:tc>
          <w:tcPr>
            <w:tcW w:type="dxa" w:w="1728"/>
          </w:tcPr>
          <w:p>
            <w:r>
              <w:rPr>
                <w:sz w:val="16"/>
              </w:rPr>
              <w:t>0.7038 / 0.8292</w:t>
            </w:r>
          </w:p>
        </w:tc>
        <w:tc>
          <w:tcPr>
            <w:tcW w:type="dxa" w:w="1728"/>
          </w:tcPr>
          <w:p>
            <w:r>
              <w:rPr>
                <w:sz w:val="16"/>
              </w:rPr>
              <w:t>0.3326 / 0.1628</w:t>
            </w:r>
          </w:p>
        </w:tc>
        <w:tc>
          <w:tcPr>
            <w:tcW w:type="dxa" w:w="1728"/>
          </w:tcPr>
          <w:p>
            <w:r>
              <w:rPr>
                <w:sz w:val="16"/>
              </w:rPr>
              <w:t>0.6718 / 0.0180</w:t>
            </w:r>
          </w:p>
        </w:tc>
      </w:tr>
      <w:tr>
        <w:trPr>
          <w:cantSplit/>
        </w:trPr>
        <w:tc>
          <w:tcPr>
            <w:tcW w:type="dxa" w:w="1728"/>
          </w:tcPr>
          <w:p>
            <w:r>
              <w:rPr>
                <w:sz w:val="16"/>
              </w:rPr>
              <w:t>LP-RAG</w:t>
            </w:r>
          </w:p>
        </w:tc>
        <w:tc>
          <w:tcPr>
            <w:tcW w:type="dxa" w:w="1728"/>
          </w:tcPr>
          <w:p>
            <w:r>
              <w:rPr>
                <w:sz w:val="16"/>
              </w:rPr>
              <w:t>0.1847 / 0.1943</w:t>
            </w:r>
          </w:p>
        </w:tc>
        <w:tc>
          <w:tcPr>
            <w:tcW w:type="dxa" w:w="1728"/>
          </w:tcPr>
          <w:p>
            <w:r>
              <w:rPr>
                <w:sz w:val="16"/>
              </w:rPr>
              <w:t>0.7081 / 0.8267</w:t>
            </w:r>
          </w:p>
        </w:tc>
        <w:tc>
          <w:tcPr>
            <w:tcW w:type="dxa" w:w="1728"/>
          </w:tcPr>
          <w:p>
            <w:r>
              <w:rPr>
                <w:sz w:val="16"/>
              </w:rPr>
              <w:t>0.3391 / 0.1655</w:t>
            </w:r>
          </w:p>
        </w:tc>
        <w:tc>
          <w:tcPr>
            <w:tcW w:type="dxa" w:w="1728"/>
          </w:tcPr>
          <w:p>
            <w:r>
              <w:rPr>
                <w:sz w:val="16"/>
              </w:rPr>
              <w:t>0.6743 / 0.0182</w:t>
            </w:r>
          </w:p>
        </w:tc>
      </w:tr>
      <w:tr>
        <w:trPr>
          <w:cantSplit/>
        </w:trPr>
        <w:tc>
          <w:tcPr>
            <w:tcW w:type="dxa" w:w="1728"/>
          </w:tcPr>
          <w:p>
            <w:r>
              <w:rPr>
                <w:sz w:val="16"/>
              </w:rPr>
              <w:t>CA-HR</w:t>
            </w:r>
          </w:p>
        </w:tc>
        <w:tc>
          <w:tcPr>
            <w:tcW w:type="dxa" w:w="1728"/>
          </w:tcPr>
          <w:p>
            <w:r>
              <w:rPr>
                <w:sz w:val="16"/>
              </w:rPr>
              <w:t>0.1894 / 0.1977</w:t>
            </w:r>
          </w:p>
        </w:tc>
        <w:tc>
          <w:tcPr>
            <w:tcW w:type="dxa" w:w="1728"/>
          </w:tcPr>
          <w:p>
            <w:r>
              <w:rPr>
                <w:sz w:val="16"/>
              </w:rPr>
              <w:t>0.7042 / 0.8334</w:t>
            </w:r>
          </w:p>
        </w:tc>
        <w:tc>
          <w:tcPr>
            <w:tcW w:type="dxa" w:w="1728"/>
          </w:tcPr>
          <w:p>
            <w:r>
              <w:rPr>
                <w:sz w:val="16"/>
              </w:rPr>
              <w:t>0.3322 / 0.1621</w:t>
            </w:r>
          </w:p>
        </w:tc>
        <w:tc>
          <w:tcPr>
            <w:tcW w:type="dxa" w:w="1728"/>
          </w:tcPr>
          <w:p>
            <w:r>
              <w:rPr>
                <w:sz w:val="16"/>
              </w:rPr>
              <w:t>0.6740 / 0.0177</w:t>
            </w:r>
          </w:p>
        </w:tc>
      </w:tr>
      <w:tr>
        <w:trPr>
          <w:cantSplit/>
        </w:trPr>
        <w:tc>
          <w:tcPr>
            <w:tcW w:type="dxa" w:w="1728"/>
          </w:tcPr>
          <w:p>
            <w:r>
              <w:rPr>
                <w:sz w:val="16"/>
              </w:rPr>
              <w:t>BGE-Hybrid</w:t>
            </w:r>
          </w:p>
        </w:tc>
        <w:tc>
          <w:tcPr>
            <w:tcW w:type="dxa" w:w="1728"/>
          </w:tcPr>
          <w:p>
            <w:r>
              <w:rPr>
                <w:sz w:val="16"/>
              </w:rPr>
              <w:t>0.1832 / 0.1924</w:t>
            </w:r>
          </w:p>
        </w:tc>
        <w:tc>
          <w:tcPr>
            <w:tcW w:type="dxa" w:w="1728"/>
          </w:tcPr>
          <w:p>
            <w:r>
              <w:rPr>
                <w:sz w:val="16"/>
              </w:rPr>
              <w:t>0.7101 / 0.8279</w:t>
            </w:r>
          </w:p>
        </w:tc>
        <w:tc>
          <w:tcPr>
            <w:tcW w:type="dxa" w:w="1728"/>
          </w:tcPr>
          <w:p>
            <w:r>
              <w:rPr>
                <w:sz w:val="16"/>
              </w:rPr>
              <w:t>0.3487 / 0.1667</w:t>
            </w:r>
          </w:p>
        </w:tc>
        <w:tc>
          <w:tcPr>
            <w:tcW w:type="dxa" w:w="1728"/>
          </w:tcPr>
          <w:p>
            <w:r>
              <w:rPr>
                <w:sz w:val="16"/>
              </w:rPr>
              <w:t>0.7115 / 0.0191</w:t>
            </w:r>
          </w:p>
        </w:tc>
      </w:tr>
      <w:tr>
        <w:trPr>
          <w:cantSplit/>
        </w:trPr>
        <w:tc>
          <w:tcPr>
            <w:tcW w:type="dxa" w:w="1728"/>
          </w:tcPr>
          <w:p>
            <w:r>
              <w:rPr>
                <w:sz w:val="16"/>
              </w:rPr>
              <w:t>BGE-CA-HR</w:t>
            </w:r>
          </w:p>
        </w:tc>
        <w:tc>
          <w:tcPr>
            <w:tcW w:type="dxa" w:w="1728"/>
          </w:tcPr>
          <w:p>
            <w:r>
              <w:rPr>
                <w:sz w:val="16"/>
              </w:rPr>
              <w:t>0.1803 / 0.1895</w:t>
            </w:r>
          </w:p>
        </w:tc>
        <w:tc>
          <w:tcPr>
            <w:tcW w:type="dxa" w:w="1728"/>
          </w:tcPr>
          <w:p>
            <w:r>
              <w:rPr>
                <w:sz w:val="16"/>
              </w:rPr>
              <w:t>0.7094 / 0.8271</w:t>
            </w:r>
          </w:p>
        </w:tc>
        <w:tc>
          <w:tcPr>
            <w:tcW w:type="dxa" w:w="1728"/>
          </w:tcPr>
          <w:p>
            <w:r>
              <w:rPr>
                <w:sz w:val="16"/>
              </w:rPr>
              <w:t>0.3367 / 0.1620</w:t>
            </w:r>
          </w:p>
        </w:tc>
        <w:tc>
          <w:tcPr>
            <w:tcW w:type="dxa" w:w="1728"/>
          </w:tcPr>
          <w:p>
            <w:r>
              <w:rPr>
                <w:sz w:val="16"/>
              </w:rPr>
              <w:t>0.6917 / 0.0186</w:t>
            </w:r>
          </w:p>
        </w:tc>
      </w:tr>
    </w:tbl>
    <w:p/>
    <w:p>
      <w:r>
        <w:rPr>
          <w:b w:val="0"/>
          <w:i w:val="0"/>
          <w:sz w:val="22"/>
        </w:rPr>
        <w:t>Fig. 2 and Table 5 show the central pattern: no configuration wins everywhere. The best single method per dataset is SCIDOCS: SBERT-Dense (0.2164); SciFact: BGE-Dense (0.7127); NFCorpus: BGE-Hybrid (0.3487); TREC-COVID: BGE-Dense (0.7578). Pretrained dense retrieval dominates on SCIDOCS, where SBERT-Dense reaches 0.2164 NDCG@10 versus 0.1496 for BM25 (+44.7% relative); on SciFact the hybrid family is best-in-class (Neural-Hybrid 0.7080 versus 0.6496 for BM25), and CA-HR attains the best Recall@10 (0.8334) of all ten methods. BGE-based configurations provide the best single result on three of the four datasets—BGE-Dense on SciFact (0.7127) and TREC-COVID (0.7578), the latter consistent with its published BEIR reference score (approximately 0.76; Xiao et al., 2023), and BGE-Hybrid on NFCorpus (0.3487)—yet BGE-Dense trails SBERT-Dense on SCIDOCS (0.2052 vs. 0.2164), confirming that even encoder choice is domain-dependent.</w:t>
      </w:r>
    </w:p>
    <w:p>
      <w:r>
        <w:rPr>
          <w:b w:val="0"/>
          <w:i w:val="0"/>
          <w:sz w:val="22"/>
        </w:rPr>
        <w:t>CA-HR, the citation- and recency-aware configuration, sits in the middle of the hybrid family overall. It exceeds BM25 and LSA-Dense on all four datasets, but it does not beat the strongest plain dense or hybrid baseline except against SBERT-Dense on SciFact. These landscape contrasts are descriptive/exploratory in the revised analysis; the confirmatory family is restricted to BiblioGuard versus its fallback (Section 6.1). The important motivation is that always-on metadata is competitive yet unstable, which creates a role for a selective intervention policy rather than another fixed re-ranker.</w:t>
      </w:r>
    </w:p>
    <w:p>
      <w:r>
        <w:rPr>
          <w:b w:val="0"/>
          <w:i w:val="0"/>
          <w:sz w:val="22"/>
        </w:rPr>
        <w:t>Table 5 also isolates the role of the dense backbone. Equal-weight hybrid fusion on BGE-small (BGE-Hybrid) does not reproduce the hybrid advantage seen with MiniLM: it trails BGE-Dense on SCIDOCS (0.1832 vs. 0.2052), SciFact (0.7101 vs. 0.7127), and TREC-COVID (0.7115 vs. 0.7578); only on NFCorpus does BGE-Hybrid (0.3487) edge out BGE-Dense (0.3434), where it attains the best NDCG@10 of all ten configurations. Decisively for RQ1, transferring the CA-HR re-ranking rule to the BGE backbone (BGE-CA-HR) never helps: it falls slightly below BGE-Hybrid on every dataset (SCIDOCS 0.1803 vs. 0.1832, d = -0.059; SciFact 0.7094 vs. 0.7101, d = -0.007; NFCorpus 0.3367 vs. 0.3487, d = -0.213; TREC-COVID 0.6917 vs. 0.7115, d = -0.289) and well below BGE-Dense. Under CA-HR's fixed a-priori hyperparameters, the citation gain obtained on the weaker MiniLM backbone on SCIDOCS does not transfer to a stronger encoder: the observed metadata benefit is backbone-dependent rather than additive (Section 6.5 tests whether any metadata weight rescues it).</w:t>
      </w:r>
    </w:p>
    <w:p>
      <w:r>
        <w:drawing>
          <wp:inline xmlns:a="http://schemas.openxmlformats.org/drawingml/2006/main" xmlns:pic="http://schemas.openxmlformats.org/drawingml/2006/picture">
            <wp:extent cx="5486400" cy="1419531"/>
            <wp:docPr id="3" name="Picture 3"/>
            <wp:cNvGraphicFramePr>
              <a:graphicFrameLocks noChangeAspect="1"/>
            </wp:cNvGraphicFramePr>
            <a:graphic>
              <a:graphicData uri="http://schemas.openxmlformats.org/drawingml/2006/picture">
                <pic:pic>
                  <pic:nvPicPr>
                    <pic:cNvPr id="0" name="Fig2_main_results.png"/>
                    <pic:cNvPicPr/>
                  </pic:nvPicPr>
                  <pic:blipFill>
                    <a:blip r:embed="rId11"/>
                    <a:stretch>
                      <a:fillRect/>
                    </a:stretch>
                  </pic:blipFill>
                  <pic:spPr>
                    <a:xfrm>
                      <a:off x="0" y="0"/>
                      <a:ext cx="5486400" cy="1419531"/>
                    </a:xfrm>
                    <a:prstGeom prst="rect"/>
                  </pic:spPr>
                </pic:pic>
              </a:graphicData>
            </a:graphic>
          </wp:inline>
        </w:drawing>
      </w:r>
    </w:p>
    <w:p>
      <w:r>
        <w:rPr>
          <w:b w:val="0"/>
          <w:i/>
          <w:sz w:val="18"/>
        </w:rPr>
        <w:t>Fig. 2. Retrieval effectiveness (NDCG@10) across four domains.</w:t>
      </w:r>
    </w:p>
    <w:p>
      <w:r>
        <w:br w:type="page"/>
      </w:r>
    </w:p>
    <w:p>
      <w:r>
        <w:rPr>
          <w:b/>
          <w:i w:val="0"/>
          <w:sz w:val="22"/>
        </w:rPr>
        <w:t>6.3. Ablation of CA-HR components</w:t>
      </w:r>
    </w:p>
    <w:p>
      <w:r>
        <w:rPr>
          <w:b w:val="0"/>
          <w:i/>
          <w:sz w:val="18"/>
        </w:rPr>
        <w:t>Table 6. CA-HR ablation (NDCG@10; bold marks cases where removing a component improves performance).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r>
              <w:rPr>
                <w:b/>
                <w:sz w:val="16"/>
              </w:rPr>
              <w:t>Variant</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rPr>
          <w:cantSplit/>
        </w:trPr>
        <w:tc>
          <w:tcPr>
            <w:tcW w:type="dxa" w:w="1728"/>
          </w:tcPr>
          <w:p>
            <w:r>
              <w:rPr>
                <w:sz w:val="16"/>
              </w:rPr>
              <w:t>Full CA-HR</w:t>
            </w:r>
          </w:p>
        </w:tc>
        <w:tc>
          <w:tcPr>
            <w:tcW w:type="dxa" w:w="1728"/>
          </w:tcPr>
          <w:p>
            <w:r>
              <w:rPr>
                <w:sz w:val="16"/>
              </w:rPr>
              <w:t>0.1894</w:t>
            </w:r>
          </w:p>
        </w:tc>
        <w:tc>
          <w:tcPr>
            <w:tcW w:type="dxa" w:w="1728"/>
          </w:tcPr>
          <w:p>
            <w:r>
              <w:rPr>
                <w:sz w:val="16"/>
              </w:rPr>
              <w:t>0.7042</w:t>
            </w:r>
          </w:p>
        </w:tc>
        <w:tc>
          <w:tcPr>
            <w:tcW w:type="dxa" w:w="1728"/>
          </w:tcPr>
          <w:p>
            <w:r>
              <w:rPr>
                <w:sz w:val="16"/>
              </w:rPr>
              <w:t>0.3322</w:t>
            </w:r>
          </w:p>
        </w:tc>
        <w:tc>
          <w:tcPr>
            <w:tcW w:type="dxa" w:w="1728"/>
          </w:tcPr>
          <w:p>
            <w:r>
              <w:rPr>
                <w:sz w:val="16"/>
              </w:rPr>
              <w:t>0.6740</w:t>
            </w:r>
          </w:p>
        </w:tc>
      </w:tr>
      <w:tr>
        <w:trPr>
          <w:cantSplit/>
        </w:trPr>
        <w:tc>
          <w:tcPr>
            <w:tcW w:type="dxa" w:w="1728"/>
          </w:tcPr>
          <w:p>
            <w:r>
              <w:rPr>
                <w:sz w:val="16"/>
              </w:rPr>
              <w:t>− citation</w:t>
            </w:r>
          </w:p>
        </w:tc>
        <w:tc>
          <w:tcPr>
            <w:tcW w:type="dxa" w:w="1728"/>
          </w:tcPr>
          <w:p>
            <w:r>
              <w:rPr>
                <w:sz w:val="16"/>
              </w:rPr>
              <w:t>0.1722</w:t>
            </w:r>
          </w:p>
        </w:tc>
        <w:tc>
          <w:tcPr>
            <w:tcW w:type="dxa" w:w="1728"/>
          </w:tcPr>
          <w:p>
            <w:r>
              <w:rPr>
                <w:sz w:val="16"/>
              </w:rPr>
              <w:t>0.7068*</w:t>
            </w:r>
          </w:p>
        </w:tc>
        <w:tc>
          <w:tcPr>
            <w:tcW w:type="dxa" w:w="1728"/>
          </w:tcPr>
          <w:p>
            <w:r>
              <w:rPr>
                <w:sz w:val="16"/>
              </w:rPr>
              <w:t>0.3396*</w:t>
            </w:r>
          </w:p>
        </w:tc>
        <w:tc>
          <w:tcPr>
            <w:tcW w:type="dxa" w:w="1728"/>
          </w:tcPr>
          <w:p>
            <w:r>
              <w:rPr>
                <w:sz w:val="16"/>
              </w:rPr>
              <w:t>0.6830*</w:t>
            </w:r>
          </w:p>
        </w:tc>
      </w:tr>
      <w:tr>
        <w:trPr>
          <w:cantSplit/>
        </w:trPr>
        <w:tc>
          <w:tcPr>
            <w:tcW w:type="dxa" w:w="1728"/>
          </w:tcPr>
          <w:p>
            <w:r>
              <w:rPr>
                <w:sz w:val="16"/>
              </w:rPr>
              <w:t>− recency</w:t>
            </w:r>
          </w:p>
        </w:tc>
        <w:tc>
          <w:tcPr>
            <w:tcW w:type="dxa" w:w="1728"/>
          </w:tcPr>
          <w:p>
            <w:r>
              <w:rPr>
                <w:sz w:val="16"/>
              </w:rPr>
              <w:t>0.2022*</w:t>
            </w:r>
          </w:p>
        </w:tc>
        <w:tc>
          <w:tcPr>
            <w:tcW w:type="dxa" w:w="1728"/>
          </w:tcPr>
          <w:p>
            <w:r>
              <w:rPr>
                <w:sz w:val="16"/>
              </w:rPr>
              <w:t>0.7035</w:t>
            </w:r>
          </w:p>
        </w:tc>
        <w:tc>
          <w:tcPr>
            <w:tcW w:type="dxa" w:w="1728"/>
          </w:tcPr>
          <w:p>
            <w:r>
              <w:rPr>
                <w:sz w:val="16"/>
              </w:rPr>
              <w:t>0.3322*</w:t>
            </w:r>
          </w:p>
        </w:tc>
        <w:tc>
          <w:tcPr>
            <w:tcW w:type="dxa" w:w="1728"/>
          </w:tcPr>
          <w:p>
            <w:r>
              <w:rPr>
                <w:sz w:val="16"/>
              </w:rPr>
              <w:t>0.6646</w:t>
            </w:r>
          </w:p>
        </w:tc>
      </w:tr>
      <w:tr>
        <w:trPr>
          <w:cantSplit/>
        </w:trPr>
        <w:tc>
          <w:tcPr>
            <w:tcW w:type="dxa" w:w="1728"/>
          </w:tcPr>
          <w:p>
            <w:r>
              <w:rPr>
                <w:sz w:val="16"/>
              </w:rPr>
              <w:t>− dense (α=1)</w:t>
            </w:r>
          </w:p>
        </w:tc>
        <w:tc>
          <w:tcPr>
            <w:tcW w:type="dxa" w:w="1728"/>
          </w:tcPr>
          <w:p>
            <w:r>
              <w:rPr>
                <w:sz w:val="16"/>
              </w:rPr>
              <w:t>0.1525</w:t>
            </w:r>
          </w:p>
        </w:tc>
        <w:tc>
          <w:tcPr>
            <w:tcW w:type="dxa" w:w="1728"/>
          </w:tcPr>
          <w:p>
            <w:r>
              <w:rPr>
                <w:sz w:val="16"/>
              </w:rPr>
              <w:t>0.6499</w:t>
            </w:r>
          </w:p>
        </w:tc>
        <w:tc>
          <w:tcPr>
            <w:tcW w:type="dxa" w:w="1728"/>
          </w:tcPr>
          <w:p>
            <w:r>
              <w:rPr>
                <w:sz w:val="16"/>
              </w:rPr>
              <w:t>0.2985</w:t>
            </w:r>
          </w:p>
        </w:tc>
        <w:tc>
          <w:tcPr>
            <w:tcW w:type="dxa" w:w="1728"/>
          </w:tcPr>
          <w:p>
            <w:r>
              <w:rPr>
                <w:sz w:val="16"/>
              </w:rPr>
              <w:t>0.5803</w:t>
            </w:r>
          </w:p>
        </w:tc>
      </w:tr>
      <w:tr>
        <w:trPr>
          <w:cantSplit/>
        </w:trPr>
        <w:tc>
          <w:tcPr>
            <w:tcW w:type="dxa" w:w="1728"/>
          </w:tcPr>
          <w:p>
            <w:r>
              <w:rPr>
                <w:sz w:val="16"/>
              </w:rPr>
              <w:t>− sparse (α=0)</w:t>
            </w:r>
          </w:p>
        </w:tc>
        <w:tc>
          <w:tcPr>
            <w:tcW w:type="dxa" w:w="1728"/>
          </w:tcPr>
          <w:p>
            <w:r>
              <w:rPr>
                <w:sz w:val="16"/>
              </w:rPr>
              <w:t>0.2300*</w:t>
            </w:r>
          </w:p>
        </w:tc>
        <w:tc>
          <w:tcPr>
            <w:tcW w:type="dxa" w:w="1728"/>
          </w:tcPr>
          <w:p>
            <w:r>
              <w:rPr>
                <w:sz w:val="16"/>
              </w:rPr>
              <w:t>0.6349</w:t>
            </w:r>
          </w:p>
        </w:tc>
        <w:tc>
          <w:tcPr>
            <w:tcW w:type="dxa" w:w="1728"/>
          </w:tcPr>
          <w:p>
            <w:r>
              <w:rPr>
                <w:sz w:val="16"/>
              </w:rPr>
              <w:t>0.3003</w:t>
            </w:r>
          </w:p>
        </w:tc>
        <w:tc>
          <w:tcPr>
            <w:tcW w:type="dxa" w:w="1728"/>
          </w:tcPr>
          <w:p>
            <w:r>
              <w:rPr>
                <w:sz w:val="16"/>
              </w:rPr>
              <w:t>0.5287</w:t>
            </w:r>
          </w:p>
        </w:tc>
      </w:tr>
      <w:tr>
        <w:trPr>
          <w:cantSplit/>
        </w:trPr>
        <w:tc>
          <w:tcPr>
            <w:tcW w:type="dxa" w:w="1728"/>
          </w:tcPr>
          <w:p>
            <w:r>
              <w:rPr>
                <w:sz w:val="16"/>
              </w:rPr>
              <w:t>− re-rank</w:t>
            </w:r>
          </w:p>
        </w:tc>
        <w:tc>
          <w:tcPr>
            <w:tcW w:type="dxa" w:w="1728"/>
          </w:tcPr>
          <w:p>
            <w:r>
              <w:rPr>
                <w:sz w:val="16"/>
              </w:rPr>
              <w:t>0.1846</w:t>
            </w:r>
          </w:p>
        </w:tc>
        <w:tc>
          <w:tcPr>
            <w:tcW w:type="dxa" w:w="1728"/>
          </w:tcPr>
          <w:p>
            <w:r>
              <w:rPr>
                <w:sz w:val="16"/>
              </w:rPr>
              <w:t>0.7067*</w:t>
            </w:r>
          </w:p>
        </w:tc>
        <w:tc>
          <w:tcPr>
            <w:tcW w:type="dxa" w:w="1728"/>
          </w:tcPr>
          <w:p>
            <w:r>
              <w:rPr>
                <w:sz w:val="16"/>
              </w:rPr>
              <w:t>0.3395*</w:t>
            </w:r>
          </w:p>
        </w:tc>
        <w:tc>
          <w:tcPr>
            <w:tcW w:type="dxa" w:w="1728"/>
          </w:tcPr>
          <w:p>
            <w:r>
              <w:rPr>
                <w:sz w:val="16"/>
              </w:rPr>
              <w:t>0.6801*</w:t>
            </w:r>
          </w:p>
        </w:tc>
      </w:tr>
    </w:tbl>
    <w:p/>
    <w:p>
      <w:r>
        <w:rPr>
          <w:b w:val="0"/>
          <w:i w:val="0"/>
          <w:sz w:val="22"/>
        </w:rPr>
        <w:t>The ablation (Table 6, Fig. 3; * = removal improves on the full model) localises exactly where metadata helps and where it hurts. On SCIDOCS—the corpus where citations are most informative about relevance (AUC = 0.798)—removing the citation boost drops NDCG@10 from 0.1894 to 0.1722, the single most valuable metadata signal in the study, while removing the recency prior improves performance to 0.2022, indicating a miscalibrated recency prior on a snapshot corpus. On SciFact both metadata terms are neutral. On the two new domains the sign flips: removing the citation boost improves NDCG@10 on NFCorpus (0.3322 → 0.3396) and on TREC-COVID (0.6740 → 0.6830). The sign flip tracks the bibliographic-informativeness diagnostics (Table 3), not coverage: NFCorpus and TREC-COVID are exactly the corpora where citation counts carry no (AUC = 0.498) or inverse (AUC = 0.461) information about relevance, so the citation boost amplifies noise rather than refining the ranking. The content side is stable across domains: removing either modality degrades performance almost everywhere, except that a pure dense configuration is best on SCIDOCS, consistent with dense dominance on computer science.</w:t>
      </w:r>
    </w:p>
    <w:p>
      <w:r>
        <w:drawing>
          <wp:inline xmlns:a="http://schemas.openxmlformats.org/drawingml/2006/main" xmlns:pic="http://schemas.openxmlformats.org/drawingml/2006/picture">
            <wp:extent cx="5486400" cy="1434023"/>
            <wp:docPr id="4" name="Picture 4"/>
            <wp:cNvGraphicFramePr>
              <a:graphicFrameLocks noChangeAspect="1"/>
            </wp:cNvGraphicFramePr>
            <a:graphic>
              <a:graphicData uri="http://schemas.openxmlformats.org/drawingml/2006/picture">
                <pic:pic>
                  <pic:nvPicPr>
                    <pic:cNvPr id="0" name="Fig3_ablation.png"/>
                    <pic:cNvPicPr/>
                  </pic:nvPicPr>
                  <pic:blipFill>
                    <a:blip r:embed="rId12"/>
                    <a:stretch>
                      <a:fillRect/>
                    </a:stretch>
                  </pic:blipFill>
                  <pic:spPr>
                    <a:xfrm>
                      <a:off x="0" y="0"/>
                      <a:ext cx="5486400" cy="1434023"/>
                    </a:xfrm>
                    <a:prstGeom prst="rect"/>
                  </pic:spPr>
                </pic:pic>
              </a:graphicData>
            </a:graphic>
          </wp:inline>
        </w:drawing>
      </w:r>
    </w:p>
    <w:p>
      <w:r>
        <w:rPr>
          <w:b w:val="0"/>
          <w:i/>
          <w:sz w:val="18"/>
        </w:rPr>
        <w:t>Fig. 3. CA-HR ablation (NDCG@10; dashed line = full model).</w:t>
      </w:r>
    </w:p>
    <w:p>
      <w:r>
        <w:rPr>
          <w:b/>
          <w:i w:val="0"/>
          <w:sz w:val="22"/>
        </w:rPr>
        <w:t>6.4. Robustness to query corruption</w:t>
      </w:r>
    </w:p>
    <w:p>
      <w:r>
        <w:rPr>
          <w:b w:val="0"/>
          <w:i w:val="0"/>
          <w:sz w:val="22"/>
        </w:rPr>
        <w:t>Under simulated word-drop noise (10%-40%), all hybrid methods degrade gracefully, but robustness rankings are domain-dependent and do not simply follow clean-query rankings (Fig. 4). On TREC-COVID, CA-HR is the most noise-resistant configuration: at 40% corruption it retains 0.4123 NDCG@10 versus 0.3988 for Neural-Hybrid and 0.3424 for BM25: the citation authority term, being independent of the corrupted query text, acts as a stabiliser even where it does not raise clean-query effectiveness. On SciFact, CA-HR (0.6923) and Neural-Hybrid (0.7073) are nearly tied at 40% noise, both well above BM25 (0.6697), and on NFCorpus the two hybrids again track each other closely (0.2809 vs. 0.2844). SCIDOCS is the exception: there BM25 is the most robust method at 40% corruption (0.1185 versus 0.1522 for CA-HR and 0.1545 for Neural-Hybrid), indicating that where dense representations dominate on clean queries they are also the most fragile to lexical corruption.</w:t>
      </w:r>
    </w:p>
    <w:p>
      <w:r>
        <w:drawing>
          <wp:inline xmlns:a="http://schemas.openxmlformats.org/drawingml/2006/main" xmlns:pic="http://schemas.openxmlformats.org/drawingml/2006/picture">
            <wp:extent cx="5486400" cy="1434737"/>
            <wp:docPr id="5" name="Picture 5"/>
            <wp:cNvGraphicFramePr>
              <a:graphicFrameLocks noChangeAspect="1"/>
            </wp:cNvGraphicFramePr>
            <a:graphic>
              <a:graphicData uri="http://schemas.openxmlformats.org/drawingml/2006/picture">
                <pic:pic>
                  <pic:nvPicPr>
                    <pic:cNvPr id="0" name="Fig4_robustness.png"/>
                    <pic:cNvPicPr/>
                  </pic:nvPicPr>
                  <pic:blipFill>
                    <a:blip r:embed="rId13"/>
                    <a:stretch>
                      <a:fillRect/>
                    </a:stretch>
                  </pic:blipFill>
                  <pic:spPr>
                    <a:xfrm>
                      <a:off x="0" y="0"/>
                      <a:ext cx="5486400" cy="1434737"/>
                    </a:xfrm>
                    <a:prstGeom prst="rect"/>
                  </pic:spPr>
                </pic:pic>
              </a:graphicData>
            </a:graphic>
          </wp:inline>
        </w:drawing>
      </w:r>
    </w:p>
    <w:p>
      <w:r>
        <w:rPr>
          <w:b w:val="0"/>
          <w:i/>
          <w:sz w:val="18"/>
        </w:rPr>
        <w:t>Fig. 4. Robustness to query corruption (NDCG@10 vs. word-drop noise).</w:t>
      </w:r>
    </w:p>
    <w:p>
      <w:r>
        <w:rPr>
          <w:b/>
          <w:i w:val="0"/>
          <w:sz w:val="22"/>
        </w:rPr>
        <w:t>6.5. Metadata-weight sensitivity and rank-fusion baselines</w:t>
      </w:r>
    </w:p>
    <w:p>
      <w:r>
        <w:rPr>
          <w:b w:val="0"/>
          <w:i w:val="0"/>
          <w:sz w:val="22"/>
        </w:rPr>
        <w:t>Two objections remain after Section 6.2. First, CA-HR's weights were fixed a priori, so the absence of a metadata gain on the stronger BGE backbone could be an artefact of under-weighting the metadata terms. Second, our hybrids interpolate min-max-normalised scores, so a standard rank-fusion reference is missing. Table 7 addresses both. We sweep the citation and recency weights of BGE-CA-HR over a 30-combination grid (beta in {0, 0.05, 0.10, 0.15, 0.20, 0.30}, gamma in {0, 0.05, 0.10, 0.15, 0.20}) and test each combination against BGE-Hybrid with one-sided Wilcoxon tests, Holm-corrected within each dataset. Because the grid is selected on the test judgments, we report this sweep strictly as an exploratory sensitivity analysis, not as confirmatory evidence. The metadata gain re-emerges only on SCIDOCS: beta = 0.3, gamma = 0.0 attains 0.2079 NDCG@10, significantly above BGE-Hybrid (0.1832; Holm p &lt; 0.001) and marginally above BGE-Dense (0.2052). On SciFact, NFCorpus, and TREC-COVID no grid combination significantly beats BGE-Hybrid (best 0.7112, 0.3437, and 0.7121 versus 0.7101, 0.3487, and 0.7115; all Holm-adjusted p = 1.0). The backbone effect is therefore not a weight artefact: metadata gains on a strong encoder are gated by citation informativeness, and where the signal is informative the gain transfers only after re-calibrating the metadata weight.</w:t>
      </w:r>
    </w:p>
    <w:p>
      <w:r>
        <w:rPr>
          <w:b w:val="0"/>
          <w:i w:val="0"/>
          <w:sz w:val="22"/>
        </w:rPr>
        <w:t>As a stronger fusion reference we add reciprocal rank fusion (RRF, k = 60) of BM25 with each dense encoder. RRF-MiniLM / RRF-BGE reach NDCG@10 0.1980 / 0.1940 on SCIDOCS, 0.6831 / 0.7114 on SciFact, 0.3323 / 0.3424 on NFCorpus, and 0.6771 / 0.7541 on TREC-COVID: no RRF variant is the best configuration on any dataset, so the qualitative conclusions of Table 5 do not depend on the min-max interpolation rule.</w:t>
      </w:r>
    </w:p>
    <w:p>
      <w:r>
        <w:rPr>
          <w:b w:val="0"/>
          <w:i/>
          <w:sz w:val="18"/>
        </w:rPr>
        <w:t>Table 7. BGE-backbone metadata-weight sensitivity (30-combination grid per dataset; significance vs. BGE-Hybrid, one-sided Wilcoxon with Holm correction) and RRF (k = 60) rank-fusion baselines; NDCG@10.</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rPr>
          <w:cantSplit/>
          <w:tblHeader/>
        </w:trPr>
        <w:tc>
          <w:tcPr>
            <w:tcW w:type="dxa" w:w="960"/>
          </w:tcPr>
          <w:p>
            <w:r>
              <w:rPr>
                <w:b/>
                <w:sz w:val="16"/>
              </w:rPr>
              <w:t>Dataset</w:t>
            </w:r>
          </w:p>
        </w:tc>
        <w:tc>
          <w:tcPr>
            <w:tcW w:type="dxa" w:w="960"/>
          </w:tcPr>
          <w:p>
            <w:r>
              <w:rPr>
                <w:b/>
                <w:sz w:val="16"/>
              </w:rPr>
              <w:t>BGE-Hybrid</w:t>
            </w:r>
          </w:p>
        </w:tc>
        <w:tc>
          <w:tcPr>
            <w:tcW w:type="dxa" w:w="960"/>
          </w:tcPr>
          <w:p>
            <w:r>
              <w:rPr>
                <w:b/>
                <w:sz w:val="16"/>
              </w:rPr>
              <w:t>BGE-Dense</w:t>
            </w:r>
          </w:p>
        </w:tc>
        <w:tc>
          <w:tcPr>
            <w:tcW w:type="dxa" w:w="960"/>
          </w:tcPr>
          <w:p>
            <w:r>
              <w:rPr>
                <w:b/>
                <w:sz w:val="16"/>
              </w:rPr>
              <w:t>BGE-CA-HR (fixed)</w:t>
            </w:r>
          </w:p>
        </w:tc>
        <w:tc>
          <w:tcPr>
            <w:tcW w:type="dxa" w:w="960"/>
          </w:tcPr>
          <w:p>
            <w:r>
              <w:rPr>
                <w:b/>
                <w:sz w:val="16"/>
              </w:rPr>
              <w:t>Best grid beta/gamma</w:t>
            </w:r>
          </w:p>
        </w:tc>
        <w:tc>
          <w:tcPr>
            <w:tcW w:type="dxa" w:w="960"/>
          </w:tcPr>
          <w:p>
            <w:r>
              <w:rPr>
                <w:b/>
                <w:sz w:val="16"/>
              </w:rPr>
              <w:t>Best grid N@10</w:t>
            </w:r>
          </w:p>
        </w:tc>
        <w:tc>
          <w:tcPr>
            <w:tcW w:type="dxa" w:w="960"/>
          </w:tcPr>
          <w:p>
            <w:r>
              <w:rPr>
                <w:b/>
                <w:sz w:val="16"/>
              </w:rPr>
              <w:t>Sig. after Holm</w:t>
            </w:r>
          </w:p>
        </w:tc>
        <w:tc>
          <w:tcPr>
            <w:tcW w:type="dxa" w:w="960"/>
          </w:tcPr>
          <w:p>
            <w:r>
              <w:rPr>
                <w:b/>
                <w:sz w:val="16"/>
              </w:rPr>
              <w:t>RRF-MiniLM</w:t>
            </w:r>
          </w:p>
        </w:tc>
        <w:tc>
          <w:tcPr>
            <w:tcW w:type="dxa" w:w="960"/>
          </w:tcPr>
          <w:p>
            <w:r>
              <w:rPr>
                <w:b/>
                <w:sz w:val="16"/>
              </w:rPr>
              <w:t>RRF-BGE</w:t>
            </w:r>
          </w:p>
        </w:tc>
      </w:tr>
      <w:tr>
        <w:trPr>
          <w:cantSplit/>
        </w:trPr>
        <w:tc>
          <w:tcPr>
            <w:tcW w:type="dxa" w:w="960"/>
          </w:tcPr>
          <w:p>
            <w:r>
              <w:rPr>
                <w:sz w:val="16"/>
              </w:rPr>
              <w:t>SCIDOCS</w:t>
            </w:r>
          </w:p>
        </w:tc>
        <w:tc>
          <w:tcPr>
            <w:tcW w:type="dxa" w:w="960"/>
          </w:tcPr>
          <w:p>
            <w:r>
              <w:rPr>
                <w:sz w:val="16"/>
              </w:rPr>
              <w:t>0.1832</w:t>
            </w:r>
          </w:p>
        </w:tc>
        <w:tc>
          <w:tcPr>
            <w:tcW w:type="dxa" w:w="960"/>
          </w:tcPr>
          <w:p>
            <w:r>
              <w:rPr>
                <w:sz w:val="16"/>
              </w:rPr>
              <w:t>0.2052</w:t>
            </w:r>
          </w:p>
        </w:tc>
        <w:tc>
          <w:tcPr>
            <w:tcW w:type="dxa" w:w="960"/>
          </w:tcPr>
          <w:p>
            <w:r>
              <w:rPr>
                <w:sz w:val="16"/>
              </w:rPr>
              <w:t>0.1803</w:t>
            </w:r>
          </w:p>
        </w:tc>
        <w:tc>
          <w:tcPr>
            <w:tcW w:type="dxa" w:w="960"/>
          </w:tcPr>
          <w:p>
            <w:r>
              <w:rPr>
                <w:sz w:val="16"/>
              </w:rPr>
              <w:t>0.3/0.0</w:t>
            </w:r>
          </w:p>
        </w:tc>
        <w:tc>
          <w:tcPr>
            <w:tcW w:type="dxa" w:w="960"/>
          </w:tcPr>
          <w:p>
            <w:r>
              <w:rPr>
                <w:sz w:val="16"/>
              </w:rPr>
              <w:t>0.2079</w:t>
            </w:r>
          </w:p>
        </w:tc>
        <w:tc>
          <w:tcPr>
            <w:tcW w:type="dxa" w:w="960"/>
          </w:tcPr>
          <w:p>
            <w:r>
              <w:rPr>
                <w:sz w:val="16"/>
              </w:rPr>
              <w:t>yes</w:t>
            </w:r>
          </w:p>
        </w:tc>
        <w:tc>
          <w:tcPr>
            <w:tcW w:type="dxa" w:w="960"/>
          </w:tcPr>
          <w:p>
            <w:r>
              <w:rPr>
                <w:sz w:val="16"/>
              </w:rPr>
              <w:t>0.1980</w:t>
            </w:r>
          </w:p>
        </w:tc>
        <w:tc>
          <w:tcPr>
            <w:tcW w:type="dxa" w:w="960"/>
          </w:tcPr>
          <w:p>
            <w:r>
              <w:rPr>
                <w:sz w:val="16"/>
              </w:rPr>
              <w:t>0.1940</w:t>
            </w:r>
          </w:p>
        </w:tc>
      </w:tr>
      <w:tr>
        <w:trPr>
          <w:cantSplit/>
        </w:trPr>
        <w:tc>
          <w:tcPr>
            <w:tcW w:type="dxa" w:w="960"/>
          </w:tcPr>
          <w:p>
            <w:r>
              <w:rPr>
                <w:sz w:val="16"/>
              </w:rPr>
              <w:t>SciFact</w:t>
            </w:r>
          </w:p>
        </w:tc>
        <w:tc>
          <w:tcPr>
            <w:tcW w:type="dxa" w:w="960"/>
          </w:tcPr>
          <w:p>
            <w:r>
              <w:rPr>
                <w:sz w:val="16"/>
              </w:rPr>
              <w:t>0.7101</w:t>
            </w:r>
          </w:p>
        </w:tc>
        <w:tc>
          <w:tcPr>
            <w:tcW w:type="dxa" w:w="960"/>
          </w:tcPr>
          <w:p>
            <w:r>
              <w:rPr>
                <w:sz w:val="16"/>
              </w:rPr>
              <w:t>0.7127</w:t>
            </w:r>
          </w:p>
        </w:tc>
        <w:tc>
          <w:tcPr>
            <w:tcW w:type="dxa" w:w="960"/>
          </w:tcPr>
          <w:p>
            <w:r>
              <w:rPr>
                <w:sz w:val="16"/>
              </w:rPr>
              <w:t>0.7094</w:t>
            </w:r>
          </w:p>
        </w:tc>
        <w:tc>
          <w:tcPr>
            <w:tcW w:type="dxa" w:w="960"/>
          </w:tcPr>
          <w:p>
            <w:r>
              <w:rPr>
                <w:sz w:val="16"/>
              </w:rPr>
              <w:t>0.05/0.2</w:t>
            </w:r>
          </w:p>
        </w:tc>
        <w:tc>
          <w:tcPr>
            <w:tcW w:type="dxa" w:w="960"/>
          </w:tcPr>
          <w:p>
            <w:r>
              <w:rPr>
                <w:sz w:val="16"/>
              </w:rPr>
              <w:t>0.7112</w:t>
            </w:r>
          </w:p>
        </w:tc>
        <w:tc>
          <w:tcPr>
            <w:tcW w:type="dxa" w:w="960"/>
          </w:tcPr>
          <w:p>
            <w:r>
              <w:rPr>
                <w:sz w:val="16"/>
              </w:rPr>
              <w:t>no</w:t>
            </w:r>
          </w:p>
        </w:tc>
        <w:tc>
          <w:tcPr>
            <w:tcW w:type="dxa" w:w="960"/>
          </w:tcPr>
          <w:p>
            <w:r>
              <w:rPr>
                <w:sz w:val="16"/>
              </w:rPr>
              <w:t>0.6831</w:t>
            </w:r>
          </w:p>
        </w:tc>
        <w:tc>
          <w:tcPr>
            <w:tcW w:type="dxa" w:w="960"/>
          </w:tcPr>
          <w:p>
            <w:r>
              <w:rPr>
                <w:sz w:val="16"/>
              </w:rPr>
              <w:t>0.7114</w:t>
            </w:r>
          </w:p>
        </w:tc>
      </w:tr>
      <w:tr>
        <w:trPr>
          <w:cantSplit/>
        </w:trPr>
        <w:tc>
          <w:tcPr>
            <w:tcW w:type="dxa" w:w="960"/>
          </w:tcPr>
          <w:p>
            <w:r>
              <w:rPr>
                <w:sz w:val="16"/>
              </w:rPr>
              <w:t>NFCorpus</w:t>
            </w:r>
          </w:p>
        </w:tc>
        <w:tc>
          <w:tcPr>
            <w:tcW w:type="dxa" w:w="960"/>
          </w:tcPr>
          <w:p>
            <w:r>
              <w:rPr>
                <w:sz w:val="16"/>
              </w:rPr>
              <w:t>0.3487</w:t>
            </w:r>
          </w:p>
        </w:tc>
        <w:tc>
          <w:tcPr>
            <w:tcW w:type="dxa" w:w="960"/>
          </w:tcPr>
          <w:p>
            <w:r>
              <w:rPr>
                <w:sz w:val="16"/>
              </w:rPr>
              <w:t>0.3434</w:t>
            </w:r>
          </w:p>
        </w:tc>
        <w:tc>
          <w:tcPr>
            <w:tcW w:type="dxa" w:w="960"/>
          </w:tcPr>
          <w:p>
            <w:r>
              <w:rPr>
                <w:sz w:val="16"/>
              </w:rPr>
              <w:t>0.3367</w:t>
            </w:r>
          </w:p>
        </w:tc>
        <w:tc>
          <w:tcPr>
            <w:tcW w:type="dxa" w:w="960"/>
          </w:tcPr>
          <w:p>
            <w:r>
              <w:rPr>
                <w:sz w:val="16"/>
              </w:rPr>
              <w:t>0.0/0.1</w:t>
            </w:r>
          </w:p>
        </w:tc>
        <w:tc>
          <w:tcPr>
            <w:tcW w:type="dxa" w:w="960"/>
          </w:tcPr>
          <w:p>
            <w:r>
              <w:rPr>
                <w:sz w:val="16"/>
              </w:rPr>
              <w:t>0.3437</w:t>
            </w:r>
          </w:p>
        </w:tc>
        <w:tc>
          <w:tcPr>
            <w:tcW w:type="dxa" w:w="960"/>
          </w:tcPr>
          <w:p>
            <w:r>
              <w:rPr>
                <w:sz w:val="16"/>
              </w:rPr>
              <w:t>no</w:t>
            </w:r>
          </w:p>
        </w:tc>
        <w:tc>
          <w:tcPr>
            <w:tcW w:type="dxa" w:w="960"/>
          </w:tcPr>
          <w:p>
            <w:r>
              <w:rPr>
                <w:sz w:val="16"/>
              </w:rPr>
              <w:t>0.3323</w:t>
            </w:r>
          </w:p>
        </w:tc>
        <w:tc>
          <w:tcPr>
            <w:tcW w:type="dxa" w:w="960"/>
          </w:tcPr>
          <w:p>
            <w:r>
              <w:rPr>
                <w:sz w:val="16"/>
              </w:rPr>
              <w:t>0.3424</w:t>
            </w:r>
          </w:p>
        </w:tc>
      </w:tr>
      <w:tr>
        <w:trPr>
          <w:cantSplit/>
        </w:trPr>
        <w:tc>
          <w:tcPr>
            <w:tcW w:type="dxa" w:w="960"/>
          </w:tcPr>
          <w:p>
            <w:r>
              <w:rPr>
                <w:sz w:val="16"/>
              </w:rPr>
              <w:t>TREC-COVID</w:t>
            </w:r>
          </w:p>
        </w:tc>
        <w:tc>
          <w:tcPr>
            <w:tcW w:type="dxa" w:w="960"/>
          </w:tcPr>
          <w:p>
            <w:r>
              <w:rPr>
                <w:sz w:val="16"/>
              </w:rPr>
              <w:t>0.7115</w:t>
            </w:r>
          </w:p>
        </w:tc>
        <w:tc>
          <w:tcPr>
            <w:tcW w:type="dxa" w:w="960"/>
          </w:tcPr>
          <w:p>
            <w:r>
              <w:rPr>
                <w:sz w:val="16"/>
              </w:rPr>
              <w:t>0.7578</w:t>
            </w:r>
          </w:p>
        </w:tc>
        <w:tc>
          <w:tcPr>
            <w:tcW w:type="dxa" w:w="960"/>
          </w:tcPr>
          <w:p>
            <w:r>
              <w:rPr>
                <w:sz w:val="16"/>
              </w:rPr>
              <w:t>0.6917</w:t>
            </w:r>
          </w:p>
        </w:tc>
        <w:tc>
          <w:tcPr>
            <w:tcW w:type="dxa" w:w="960"/>
          </w:tcPr>
          <w:p>
            <w:r>
              <w:rPr>
                <w:sz w:val="16"/>
              </w:rPr>
              <w:t>0.1/0.2</w:t>
            </w:r>
          </w:p>
        </w:tc>
        <w:tc>
          <w:tcPr>
            <w:tcW w:type="dxa" w:w="960"/>
          </w:tcPr>
          <w:p>
            <w:r>
              <w:rPr>
                <w:sz w:val="16"/>
              </w:rPr>
              <w:t>0.7121</w:t>
            </w:r>
          </w:p>
        </w:tc>
        <w:tc>
          <w:tcPr>
            <w:tcW w:type="dxa" w:w="960"/>
          </w:tcPr>
          <w:p>
            <w:r>
              <w:rPr>
                <w:sz w:val="16"/>
              </w:rPr>
              <w:t>no</w:t>
            </w:r>
          </w:p>
        </w:tc>
        <w:tc>
          <w:tcPr>
            <w:tcW w:type="dxa" w:w="960"/>
          </w:tcPr>
          <w:p>
            <w:r>
              <w:rPr>
                <w:sz w:val="16"/>
              </w:rPr>
              <w:t>0.6771</w:t>
            </w:r>
          </w:p>
        </w:tc>
        <w:tc>
          <w:tcPr>
            <w:tcW w:type="dxa" w:w="960"/>
          </w:tcPr>
          <w:p>
            <w:r>
              <w:rPr>
                <w:sz w:val="16"/>
              </w:rPr>
              <w:t>0.7541</w:t>
            </w:r>
          </w:p>
        </w:tc>
      </w:tr>
    </w:tbl>
    <w:p/>
    <w:p>
      <w:r>
        <w:rPr>
          <w:b/>
          <w:i w:val="0"/>
          <w:sz w:val="22"/>
        </w:rPr>
        <w:t>6.6. Generation-side evaluation</w:t>
      </w:r>
    </w:p>
    <w:p>
      <w:r>
        <w:rPr>
          <w:b w:val="0"/>
          <w:i/>
          <w:sz w:val="18"/>
        </w:rPr>
        <w:t>Table 8. End-to-end answer quality with DeepSeek generation on 200 paired queries (50 per dataset across the four benchmarks): LLM-judged relevance and faithfulness (1-5), citation precision against gold judgments, and relevant passages in the top-5 context.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tcPr>
          <w:p>
            <w:r>
              <w:rPr>
                <w:b/>
                <w:sz w:val="16"/>
              </w:rPr>
              <w:t>Measure</w:t>
            </w:r>
          </w:p>
        </w:tc>
        <w:tc>
          <w:tcPr>
            <w:tcW w:type="dxa" w:w="2160"/>
          </w:tcPr>
          <w:p>
            <w:r>
              <w:rPr>
                <w:b/>
                <w:sz w:val="16"/>
              </w:rPr>
              <w:t>CA-HR backend</w:t>
            </w:r>
          </w:p>
        </w:tc>
        <w:tc>
          <w:tcPr>
            <w:tcW w:type="dxa" w:w="2160"/>
          </w:tcPr>
          <w:p>
            <w:r>
              <w:rPr>
                <w:b/>
                <w:sz w:val="16"/>
              </w:rPr>
              <w:t>Neural-Hybrid backend</w:t>
            </w:r>
          </w:p>
        </w:tc>
        <w:tc>
          <w:tcPr>
            <w:tcW w:type="dxa" w:w="2160"/>
          </w:tcPr>
          <w:p>
            <w:r>
              <w:rPr>
                <w:b/>
                <w:sz w:val="16"/>
              </w:rPr>
              <w:t>Wilcoxon (two-sided)</w:t>
            </w:r>
          </w:p>
        </w:tc>
      </w:tr>
      <w:tr>
        <w:trPr>
          <w:cantSplit/>
        </w:trPr>
        <w:tc>
          <w:tcPr>
            <w:tcW w:type="dxa" w:w="2160"/>
          </w:tcPr>
          <w:p>
            <w:r>
              <w:rPr>
                <w:sz w:val="16"/>
              </w:rPr>
              <w:t>Relevance (judge 1-5)</w:t>
            </w:r>
          </w:p>
        </w:tc>
        <w:tc>
          <w:tcPr>
            <w:tcW w:type="dxa" w:w="2160"/>
          </w:tcPr>
          <w:p>
            <w:r>
              <w:rPr>
                <w:sz w:val="16"/>
              </w:rPr>
              <w:t>4.18 ± 1.28</w:t>
            </w:r>
          </w:p>
        </w:tc>
        <w:tc>
          <w:tcPr>
            <w:tcW w:type="dxa" w:w="2160"/>
          </w:tcPr>
          <w:p>
            <w:r>
              <w:rPr>
                <w:sz w:val="16"/>
              </w:rPr>
              <w:t>4.25 ± 1.29</w:t>
            </w:r>
          </w:p>
        </w:tc>
        <w:tc>
          <w:tcPr>
            <w:tcW w:type="dxa" w:w="2160"/>
          </w:tcPr>
          <w:p>
            <w:r>
              <w:rPr>
                <w:sz w:val="16"/>
              </w:rPr>
              <w:t>p = 0.567</w:t>
            </w:r>
          </w:p>
        </w:tc>
      </w:tr>
      <w:tr>
        <w:trPr>
          <w:cantSplit/>
        </w:trPr>
        <w:tc>
          <w:tcPr>
            <w:tcW w:type="dxa" w:w="2160"/>
          </w:tcPr>
          <w:p>
            <w:r>
              <w:rPr>
                <w:sz w:val="16"/>
              </w:rPr>
              <w:t>Faithfulness (judge 1-5)</w:t>
            </w:r>
          </w:p>
        </w:tc>
        <w:tc>
          <w:tcPr>
            <w:tcW w:type="dxa" w:w="2160"/>
          </w:tcPr>
          <w:p>
            <w:r>
              <w:rPr>
                <w:sz w:val="16"/>
              </w:rPr>
              <w:t>4.89 ± 0.37</w:t>
            </w:r>
          </w:p>
        </w:tc>
        <w:tc>
          <w:tcPr>
            <w:tcW w:type="dxa" w:w="2160"/>
          </w:tcPr>
          <w:p>
            <w:r>
              <w:rPr>
                <w:sz w:val="16"/>
              </w:rPr>
              <w:t>4.92 ± 0.29</w:t>
            </w:r>
          </w:p>
        </w:tc>
        <w:tc>
          <w:tcPr>
            <w:tcW w:type="dxa" w:w="2160"/>
          </w:tcPr>
          <w:p>
            <w:r>
              <w:rPr>
                <w:sz w:val="16"/>
              </w:rPr>
              <w:t>p = 0.481</w:t>
            </w:r>
          </w:p>
        </w:tc>
      </w:tr>
      <w:tr>
        <w:trPr>
          <w:cantSplit/>
        </w:trPr>
        <w:tc>
          <w:tcPr>
            <w:tcW w:type="dxa" w:w="2160"/>
          </w:tcPr>
          <w:p>
            <w:r>
              <w:rPr>
                <w:sz w:val="16"/>
              </w:rPr>
              <w:t>Citation precision</w:t>
            </w:r>
          </w:p>
        </w:tc>
        <w:tc>
          <w:tcPr>
            <w:tcW w:type="dxa" w:w="2160"/>
          </w:tcPr>
          <w:p>
            <w:r>
              <w:rPr>
                <w:sz w:val="16"/>
              </w:rPr>
              <w:t>0.495</w:t>
            </w:r>
          </w:p>
        </w:tc>
        <w:tc>
          <w:tcPr>
            <w:tcW w:type="dxa" w:w="2160"/>
          </w:tcPr>
          <w:p>
            <w:r>
              <w:rPr>
                <w:sz w:val="16"/>
              </w:rPr>
              <w:t>0.486</w:t>
            </w:r>
          </w:p>
        </w:tc>
        <w:tc>
          <w:tcPr>
            <w:tcW w:type="dxa" w:w="2160"/>
          </w:tcPr>
          <w:p>
            <w:r>
              <w:rPr>
                <w:sz w:val="16"/>
              </w:rPr>
              <w:t>p = 0.581</w:t>
            </w:r>
          </w:p>
        </w:tc>
      </w:tr>
      <w:tr>
        <w:trPr>
          <w:cantSplit/>
        </w:trPr>
        <w:tc>
          <w:tcPr>
            <w:tcW w:type="dxa" w:w="2160"/>
          </w:tcPr>
          <w:p>
            <w:r>
              <w:rPr>
                <w:sz w:val="16"/>
              </w:rPr>
              <w:t>Relevant docs in top-5</w:t>
            </w:r>
          </w:p>
        </w:tc>
        <w:tc>
          <w:tcPr>
            <w:tcW w:type="dxa" w:w="2160"/>
          </w:tcPr>
          <w:p>
            <w:r>
              <w:rPr>
                <w:sz w:val="16"/>
              </w:rPr>
              <w:t>1.68</w:t>
            </w:r>
          </w:p>
        </w:tc>
        <w:tc>
          <w:tcPr>
            <w:tcW w:type="dxa" w:w="2160"/>
          </w:tcPr>
          <w:p>
            <w:r>
              <w:rPr>
                <w:sz w:val="16"/>
              </w:rPr>
              <w:t>1.70</w:t>
            </w:r>
          </w:p>
        </w:tc>
        <w:tc>
          <w:tcPr>
            <w:tcW w:type="dxa" w:w="2160"/>
          </w:tcPr>
          <w:p>
            <w:r>
              <w:rPr>
                <w:sz w:val="16"/>
              </w:rPr>
              <w:t>p = 0.544</w:t>
            </w:r>
          </w:p>
        </w:tc>
      </w:tr>
    </w:tbl>
    <w:p/>
    <w:p>
      <w:r>
        <w:rPr>
          <w:b w:val="0"/>
          <w:i w:val="0"/>
          <w:sz w:val="22"/>
        </w:rPr>
        <w:t>This secondary experiment predates BiblioGuard and compares two fixed MiniLM-family backends; it tests whether retrieval changes of the observed magnitude survive generation, not whether BiblioGuard itself improves generated answers. We sampled 200 test queries (50 per dataset, fixed seed), generated cited answers with DeepSeek (deepseek-chat, temperature 0.2, top-5 passages as context), and scored each answer for relevance and faithfulness with an LLM judge and for citation precision against the gold judgments. The judge is the same DeepSeek chat model prompted with a fixed rubric (1-5 relevance; 1-5 faithfulness conditioned on the retrieved context; the exact prompts are released with the code). Each answer was judged once, in randomised backend order with backend labels hidden from the judge; no human verification subsample was performed, which we flag as a limitation (Section 8.2). Table 8 shows the backends are statistically indistinguishable on every measure (all p &gt; 0.48): at top-5, the two systems surface nearly the same passages (1.68 vs. 1.70 gold-relevant documents on average). Two secondary findings are worth reporting. First, absolute answer quality is high (relevance 4.18-4.25, faithfulness 4.89-4.92 of 5), supporting technical feasibility under this automated judge. Second, citation precision against the strict gold judgments averages about 0.50 but varies sharply with gold-judgment density: 0.87 on TREC-COVID, whose queries carry dense graded judgments, versus 0.15 on SCIDOCS, whose judgments are sparse; the model frequently cites plausible but not gold-relevant passages, a failure mode invisible to retrieval metrics and a target for future citation verification. We caveat that the judge shares the generator's model family (Zheng et al., 2023); the paired design controls for this bias, but absolute scores should be read accordingly.</w:t>
      </w:r>
    </w:p>
    <w:p>
      <w:r>
        <w:rPr>
          <w:b/>
          <w:i w:val="0"/>
          <w:sz w:val="22"/>
        </w:rPr>
        <w:t>6.7. Efficiency</w:t>
      </w:r>
    </w:p>
    <w:p>
      <w:r>
        <w:rPr>
          <w:b w:val="0"/>
          <w:i w:val="0"/>
          <w:sz w:val="22"/>
        </w:rPr>
        <w:t>All ten configurations are CPU-feasible. On the largest corpus (TREC-COVID, 171,332 documents) BM25 scoring averages 1,002 ms per query; dense scoring over precomputed embeddings and CA-HR re-ranking add under 2 ms. On the smaller corpora BM25 costs 7.6-97 ms per query and query encoding about 30 ms. In the deployed system, retrieval latency is negligible next to LLM generation, and the one-time corpus embedding cost (about 34-49 documents/s for MiniLM on 8 CPU threads) is amortised offline.</w:t>
      </w:r>
    </w:p>
    <w:p>
      <w:r>
        <w:rPr>
          <w:b/>
          <w:i w:val="0"/>
          <w:sz w:val="24"/>
        </w:rPr>
        <w:t>7. Deployment feasibility case study</w:t>
      </w:r>
    </w:p>
    <w:p>
      <w:r>
        <w:rPr>
          <w:b w:val="0"/>
          <w:i w:val="0"/>
          <w:sz w:val="22"/>
        </w:rPr>
        <w:t>The full pipeline has been deployed in the production assistant since 10 July 2026 (system name and URL withheld for anonymous review), on a single Aliyun ECS instance (2 vCPU, 1.6 GB RAM, 40 GB disk, Ubuntu 22.04) with Node.js 20.20.2, MySQL 8.0.46, Nginx 1.18 terminating TLS (Let's Encrypt, auto-renewed), and PM2 supervision. Over the first month of operation the service recorded 6 registered users, 6 uploaded papers, 26 chat conversations with 63 messages, 6 AI-generated summaries, and 3 writing projects; the process restarted twice in six days (both manual deploys) and the edge responds in about 74 ms. This is a pilot-scale deployment, and we report it as such: its purpose is to demonstrate that the retrieval/generation pipeline runs on commodity hardware, not to claim large-scale adoption or an online evaluation of BiblioGuard. The pilot used fixed hybrid/CA-HR backends and predates the new decision policy; BiblioGuard has been integrated into the offline reproduction code but has not yet been subjected to a live A/B test.</w:t>
      </w:r>
    </w:p>
    <w:p>
      <w:r>
        <w:rPr>
          <w:b w:val="0"/>
          <w:i w:val="0"/>
          <w:sz w:val="22"/>
        </w:rPr>
        <w:t>Two operational observations connect the deployment to the experimental findings. First, retrieval never appeared in the latency budget: user-perceived response time is dominated by the streamed LLM tokens, consistent with Section 6.7, so the choice among the ten configurations is free from an engineering standpoint. Second, user-uploaded papers are often fresh preprints with no citation record—the production analogue of TREC-COVID's inverted citation-relevance association—so the system defaults to the plain hybrid backend for user libraries. BiblioGuard formalises a future evidence-gated path away from that fallback; the current deployment evidence establishes only that its underlying retrieval actions satisfy the hardware budget.</w:t>
      </w:r>
    </w:p>
    <w:p>
      <w:r>
        <w:rPr>
          <w:b/>
          <w:i w:val="0"/>
          <w:sz w:val="24"/>
        </w:rPr>
        <w:t>8. Discussion</w:t>
      </w:r>
    </w:p>
    <w:p>
      <w:r>
        <w:rPr>
          <w:b/>
          <w:i w:val="0"/>
          <w:sz w:val="22"/>
        </w:rPr>
        <w:t>8.1. Why confidence-gated intervention changes the result</w:t>
      </w:r>
    </w:p>
    <w:p>
      <w:r>
        <w:rPr>
          <w:b w:val="0"/>
          <w:i w:val="0"/>
          <w:sz w:val="22"/>
        </w:rPr>
        <w:t>BiblioGuard changes the learning target from absolute winner prediction to paired incremental utility. This matters because all candidate outcomes share the same query and much of the same ranking; subtracting the fallback removes query difficulty and asks only whether intervention is justified. The explicit no-action outcome also changes the error asymmetry: a false positive can damage a strong baseline, whereas a false negative merely forgoes a possible gain. The lower-bound gate implements this conservative preference.</w:t>
      </w:r>
    </w:p>
    <w:p>
      <w:r>
        <w:rPr>
          <w:b w:val="0"/>
          <w:i w:val="0"/>
          <w:sz w:val="22"/>
        </w:rPr>
        <w:t>The cross-domain activation pattern is consistent with the independent bibliographic diagnostics. SCIDOCS has a strong citation-relevance association (AUC = 0.798), and every guarded activation is a citation-only action. SciFact is weaker (AUC = 0.582), NFCorpus is uninformative (0.498), and TREC-COVID is inverted (0.461); in these domains the unconstrained estimator often predicts a positive local mean but the simultaneous lower bound rejects it. This difference between mean routing and evidence-gated routing is the central mechanism result, not a claim that bibliographic metadata is generally beneficial. Backbone and query noise remain relevant: the fixed MiniLM metadata gain does not transfer directly to BGE (Section 6.2), and robustness rankings change under word drop (Section 6.4).</w:t>
      </w:r>
    </w:p>
    <w:p>
      <w:r>
        <w:rPr>
          <w:b/>
          <w:i w:val="0"/>
          <w:sz w:val="22"/>
        </w:rPr>
        <w:t>8.2. Limitations</w:t>
      </w:r>
    </w:p>
    <w:p>
      <w:r>
        <w:rPr>
          <w:b w:val="0"/>
          <w:i w:val="0"/>
          <w:sz w:val="22"/>
        </w:rPr>
        <w:t>Eight limitations delimit the contribution. (1) BiblioGuard requires historical queries with judgments; an unseen domain follows the metadata-free cold-start path and receives no learned benefit. (2) The similarity-weighted Student-t lower bound is an operational confidence gate, not a finite-sample or distribution-free safety certificate. (3) Evaluation is within-domain cross-fitting, not temporal or cross-domain external validation; only SCIDOCS activates, and its +0.0049 absolute gain and d = 0.139 are modest. (4) Interventions use CA-HR's 0.6/0.4 content fusion whereas the fallback uses 0.5/0.5, so the paired effect measures the complete configuration switch rather than a metadata-only causal effect. (5) The action family, confidence level, one BGE encoder, four benchmarks, and NDCG@10 utility should be locked prospectively and tested on more domains, encoders, and time slices. (6) TREC-COVID has only 50 queries and 69.8% citation coverage; neutral defaults cannot remove systematic missingness. (7) The generation experiment compares fixed MiniLM backends, uses the same model family for generation and judging, has no human verification, and therefore does not establish a BiblioGuard generation gain. (8) The six-user, one-month deployment predates BiblioGuard and shows hardware feasibility only; an online A/B evaluation and passage-level validation remain future work.</w:t>
      </w:r>
    </w:p>
    <w:p>
      <w:r>
        <w:rPr>
          <w:b/>
          <w:i w:val="0"/>
          <w:sz w:val="24"/>
        </w:rPr>
        <w:t>9. Conclusion</w:t>
      </w:r>
    </w:p>
    <w:p>
      <w:r>
        <w:rPr>
          <w:b w:val="0"/>
          <w:i w:val="0"/>
          <w:sz w:val="22"/>
        </w:rPr>
        <w:t>We introduced BiblioGuard, a cross-fitted decision layer for selective bibliographic intervention in scientific RAG. Rather than predicting the best retriever, it estimates paired local uplift relative to a strong fallback, corrects its one-sided gate over nine actions, and abstains when the evidence is insufficient. On four domains it improves SCIDOCS by 0.0049 NDCG@10 and reproduces the fallback exactly elsewhere; removing the lower-confidence gate causes negative transfer in the other three domains. The result supports a narrow conclusion: selective metadata use can be safer empirically than always-on or mean-only routing when paired historical evidence is available. It does not establish a universal guarantee. Prospective multi-encoder and temporal evaluation, calibrated or conformal risk control, and a live BiblioGuard A/B test are the next steps.</w:t>
      </w:r>
    </w:p>
    <w:p>
      <w:r>
        <w:rPr>
          <w:b/>
          <w:i w:val="0"/>
          <w:sz w:val="24"/>
        </w:rPr>
        <w:t>Declaration of generative AI and AI-assisted technologies in the manuscript preparation process</w:t>
      </w:r>
    </w:p>
    <w:p>
      <w:r>
        <w:rPr>
          <w:b w:val="0"/>
          <w:i w:val="0"/>
          <w:sz w:val="22"/>
        </w:rPr>
        <w:t>During the preparation of this work the author used Kimi (Moonshot AI) for code debugging and language polishing. All AI-assisted output, including code and experimental results, was reviewed, executed, and verified by the author, who takes full responsibility for the content of the published article.</w:t>
      </w:r>
    </w:p>
    <w:p>
      <w:r>
        <w:rPr>
          <w:b/>
          <w:i w:val="0"/>
          <w:sz w:val="24"/>
        </w:rPr>
        <w:t>References</w:t>
      </w:r>
    </w:p>
    <w:p>
      <w:r>
        <w:rPr>
          <w:b w:val="0"/>
          <w:i w:val="0"/>
          <w:sz w:val="20"/>
        </w:rPr>
        <w:t>Asai, A., He, J., Shao, R., Shi, W., Singh, A., Chang, J. C., Lo, K., Soldaini, L., Feldman, S., D'Arcy, M., Wadden, D., Latzke, M., Sparks, J., Hwang, J. D., Kishore, V., Tian, M., Ji, P., Liu, S., Tong, H., Wu, B., ... Hajishirzi, H. (2026). Synthesizing scientific literature with retrieval-augmented language models. Nature, 650, 857–863. https://doi.org/10.1038/s41586-025-10072-4</w:t>
      </w:r>
    </w:p>
    <w:p>
      <w:r>
        <w:rPr>
          <w:b w:val="0"/>
          <w:i w:val="0"/>
          <w:sz w:val="20"/>
        </w:rPr>
        <w:t>Asai, A., Wu, Z., Wang, Y., Sil, A., &amp; Hajishirzi, H. (2024). Self-RAG: Learning to retrieve, generate, and critique through self-reflection. In Proceedings of ICLR.</w:t>
      </w:r>
    </w:p>
    <w:p>
      <w:r>
        <w:rPr>
          <w:b w:val="0"/>
          <w:i w:val="0"/>
          <w:sz w:val="20"/>
        </w:rPr>
        <w:t>Bao, T., Nayeem, M. T., Rafiei, D., &amp; Zhang, C. (2025). SurveyGen: Quality-aware scientific survey generation with large language models. In Proceedings of EMNLP (pp. 2712–2736). https://doi.org/10.18653/v1/2025.emnlp-main.136</w:t>
      </w:r>
    </w:p>
    <w:p>
      <w:r>
        <w:rPr>
          <w:b w:val="0"/>
          <w:i w:val="0"/>
          <w:sz w:val="20"/>
        </w:rPr>
        <w:t>Boteva, V., Gholipour, D., Sokolov, A., &amp; Riezler, S. (2016). A full-text learning to rank dataset for medical information retrieval. In Proceedings of ECIR (pp. 716–722).</w:t>
      </w:r>
    </w:p>
    <w:p>
      <w:r>
        <w:rPr>
          <w:b w:val="0"/>
          <w:i w:val="0"/>
          <w:sz w:val="20"/>
        </w:rPr>
        <w:t>Chen, J., Xiao, S., Zhang, P., Luo, K., Lian, D., &amp; Liu, Z. (2024). BGE M3-Embedding: Multi-lingual, multi-functionality, multi-granularity text embeddings through self-knowledge distillation. arXiv:2402.03216. https://doi.org/10.48550/arXiv.2402.03216</w:t>
      </w:r>
    </w:p>
    <w:p>
      <w:r>
        <w:rPr>
          <w:b w:val="0"/>
          <w:i w:val="0"/>
          <w:sz w:val="20"/>
        </w:rPr>
        <w:t>Cohan, A., Feldman, S., Beltagy, I., Downey, D., &amp; Weld, D. S. (2020). SPECTER: Document-level representation learning using citation-informed transformers. In Proceedings of ACL (pp. 2270–2282). https://doi.org/10.18653/v1/2020.acl-main.207</w:t>
      </w:r>
    </w:p>
    <w:p>
      <w:r>
        <w:rPr>
          <w:b w:val="0"/>
          <w:i w:val="0"/>
          <w:sz w:val="20"/>
        </w:rPr>
        <w:t>Deerwester, S., Dumais, S. T., Furnas, G. W., Landauer, T. K., &amp; Harshman, R. (1990). Indexing by latent semantic analysis. Journal of the American Society for Information Science, 41(6), 391–407.</w:t>
      </w:r>
    </w:p>
    <w:p>
      <w:r>
        <w:rPr>
          <w:b w:val="0"/>
          <w:i w:val="0"/>
          <w:sz w:val="20"/>
        </w:rPr>
        <w:t>DeepSeek-AI. (2024). DeepSeek-V3 technical report. arXiv:2412.19437. https://doi.org/10.48550/arXiv.2412.19437</w:t>
      </w:r>
    </w:p>
    <w:p>
      <w:r>
        <w:rPr>
          <w:b w:val="0"/>
          <w:i w:val="0"/>
          <w:sz w:val="20"/>
        </w:rPr>
        <w:t>Ding, H., Zhao, Y., Hu, T., Wang, Z., Patwardhan, M., &amp; Cohan, A. (2026). SciRAG: Adaptive, citation-aware, and outline-guided retrieval and synthesis for scientific literature. In Proceedings of EACL (Volume 1: Long Papers) (pp. 6440–6460).</w:t>
      </w:r>
    </w:p>
    <w:p>
      <w:r>
        <w:rPr>
          <w:b w:val="0"/>
          <w:i w:val="0"/>
          <w:sz w:val="20"/>
        </w:rPr>
        <w:t>Hwang, J., Park, J., Park, H., Kim, D., Park, S., &amp; Ok, J. (2025). Retrieval-augmented generation with estimation of source reliability. In Proceedings of EMNLP (pp. 34279–34303). https://doi.org/10.18653/v1/2025.emnlp-main.1738</w:t>
      </w:r>
    </w:p>
    <w:p>
      <w:r>
        <w:rPr>
          <w:b w:val="0"/>
          <w:i w:val="0"/>
          <w:sz w:val="20"/>
        </w:rPr>
        <w:t>Karpukhin, V., Oğuz, B., Min, S., Lewis, P., Wu, L., Edunov, S., Chen, D., &amp; Yih, W.-t. (2020). Dense passage retrieval for open-domain question answering. In Proceedings of EMNLP (pp. 6769–6781). https://doi.org/10.18653/v1/2020.emnlp-main.550</w:t>
      </w:r>
    </w:p>
    <w:p>
      <w:r>
        <w:rPr>
          <w:b w:val="0"/>
          <w:i w:val="0"/>
          <w:sz w:val="20"/>
        </w:rPr>
        <w:t>Kim, J., Yoon, S., Le, X.-B., Nam, Y., Kim, D., Song, H., &amp; Lee, J.-G. (2026). QuDAR: Query-wise dual-perspective adaptive retrieval. In Proceedings of ACL (pp. 38662–38679). https://doi.org/10.18653/v1/2026.acl-long.1791</w:t>
      </w:r>
    </w:p>
    <w:p>
      <w:r>
        <w:rPr>
          <w:b w:val="0"/>
          <w:i w:val="0"/>
          <w:sz w:val="20"/>
        </w:rPr>
        <w:t>Lewis, P., Perez, E., Piktus, A., Petroni, F., Karpukhin, V., Goyal, N., Küttler, H., Lewis, M., Yih, W.-t., Rocktäschel, T., Riedel, S., &amp; Kiela, D. (2020). Retrieval-augmented generation for knowledge-intensive NLP tasks. In Proceedings of NeurIPS (pp. 9459–9474).</w:t>
      </w:r>
    </w:p>
    <w:p>
      <w:r>
        <w:rPr>
          <w:b w:val="0"/>
          <w:i w:val="0"/>
          <w:sz w:val="20"/>
        </w:rPr>
        <w:t>Lin, J. (2021). A proposed conceptual framework for a representational approach to information retrieval. ACM SIGIR Forum, 55(2).</w:t>
      </w:r>
    </w:p>
    <w:p>
      <w:r>
        <w:rPr>
          <w:b w:val="0"/>
          <w:i w:val="0"/>
          <w:sz w:val="20"/>
        </w:rPr>
        <w:t>Nogueira, R., Jiang, Z., Pradeep, R., &amp; Lin, J. (2020). Document ranking with a pretrained sequence-to-sequence model. In Findings of EMNLP (pp. 708–718). https://doi.org/10.18653/v1/2020.findings-emnlp.63</w:t>
      </w:r>
    </w:p>
    <w:p>
      <w:r>
        <w:rPr>
          <w:b w:val="0"/>
          <w:i w:val="0"/>
          <w:sz w:val="20"/>
        </w:rPr>
        <w:t>Ostendorff, M., Rethmeier, N., Augenstein, I., Gipp, B., &amp; Rehm, G. (2022). Neighborhood contrastive learning for scientific document representations with citation embeddings. In Proceedings of EMNLP (pp. 11670–11688).</w:t>
      </w:r>
    </w:p>
    <w:p>
      <w:r>
        <w:rPr>
          <w:b w:val="0"/>
          <w:i w:val="0"/>
          <w:sz w:val="20"/>
        </w:rPr>
        <w:t>Priem, J., Piwowar, H., &amp; Orr, R. (2022). OpenAlex: A fully-open index of scholarly works, authors, venues, institutions, and concepts. arXiv:2205.01833. https://doi.org/10.48550/arXiv.2205.01833</w:t>
      </w:r>
    </w:p>
    <w:p>
      <w:r>
        <w:rPr>
          <w:b w:val="0"/>
          <w:i w:val="0"/>
          <w:sz w:val="20"/>
        </w:rPr>
        <w:t>Qu, Y., Ding, Y., Liu, J., Liu, K., Ren, R., Zhao, W. X., Dong, D., Wu, H., &amp; Wang, H. (2021). RocketQA: An optimized training approach to dense passage retrieval. In Proceedings of NAACL (pp. 5835–5847). https://doi.org/10.18653/v1/2021.naacl-main.466</w:t>
      </w:r>
    </w:p>
    <w:p>
      <w:r>
        <w:rPr>
          <w:b w:val="0"/>
          <w:i w:val="0"/>
          <w:sz w:val="20"/>
        </w:rPr>
        <w:t>Reimers, N., &amp; Gurevych, I. (2019). Sentence-BERT: Sentence embeddings using Siamese BERT-networks. In Proceedings of EMNLP-IJCNLP (pp. 3982–3992). https://doi.org/10.18653/v1/D19-1410</w:t>
      </w:r>
    </w:p>
    <w:p>
      <w:r>
        <w:rPr>
          <w:b w:val="0"/>
          <w:i w:val="0"/>
          <w:sz w:val="20"/>
        </w:rPr>
        <w:t>Robertson, S., &amp; Zaragoza, H. (2009). The probabilistic relevance framework: BM25 and beyond. Foundations and Trends in Information Retrieval, 3(4), 333–389. https://doi.org/10.1561/1500000019</w:t>
      </w:r>
    </w:p>
    <w:p>
      <w:r>
        <w:rPr>
          <w:b w:val="0"/>
          <w:i w:val="0"/>
          <w:sz w:val="20"/>
        </w:rPr>
        <w:t>Shao, Z., Gong, Y., Shen, Y., Huang, M., Duan, N., &amp; Chen, W. (2023). Enhancing retrieval-augmented large language models with iterative retrieval-generation synergy. In Findings of EMNLP (pp. 9248–9274).</w:t>
      </w:r>
    </w:p>
    <w:p>
      <w:r>
        <w:rPr>
          <w:b w:val="0"/>
          <w:i w:val="0"/>
          <w:sz w:val="20"/>
        </w:rPr>
        <w:t>Singh, A., D'Arcy, M., Cohan, A., Downey, D., &amp; Feldman, S. (2023). SciRepEval: A multi-format benchmark for scientific document representations. In Proceedings of EMNLP (pp. 5548–5566).</w:t>
      </w:r>
    </w:p>
    <w:p>
      <w:r>
        <w:rPr>
          <w:b w:val="0"/>
          <w:i w:val="0"/>
          <w:sz w:val="20"/>
        </w:rPr>
        <w:t>Thakur, N., Reimers, N., Rücklé, A., Srivastava, A., &amp; Gurevych, I. (2021). BEIR: A heterogeneous benchmark for zero-shot evaluation of information retrieval models. In Proceedings of NeurIPS Datasets and Benchmarks.</w:t>
      </w:r>
    </w:p>
    <w:p>
      <w:r>
        <w:rPr>
          <w:b w:val="0"/>
          <w:i w:val="0"/>
          <w:sz w:val="20"/>
        </w:rPr>
        <w:t>Varangot-Reille, C., Bouvard, C., &amp; Gourru, A. (2026). Generalising LLM routing using past performance retrieval: A few-shot router is sufficient. In Proceedings of EACL Student Research Workshop (pp. 304–319). https://doi.org/10.18653/v1/2026.eacl-srw.22</w:t>
      </w:r>
    </w:p>
    <w:p>
      <w:r>
        <w:rPr>
          <w:b w:val="0"/>
          <w:i w:val="0"/>
          <w:sz w:val="20"/>
        </w:rPr>
        <w:t>Voorhees, E., Alam, T., Bedrick, S., Demner-Fushman, D., Hersh, W. R., Lo, K., Roberts, K., Soboroff, I., &amp; Wang, L. L. (2021). TREC-COVID: Constructing a pandemic information retrieval test collection. ACM SIGIR Forum, 54(1), 1–12.</w:t>
      </w:r>
    </w:p>
    <w:p>
      <w:r>
        <w:rPr>
          <w:b w:val="0"/>
          <w:i w:val="0"/>
          <w:sz w:val="20"/>
        </w:rPr>
        <w:t>Wadden, D., Lin, S., Lo, K., Wang, L. L., van Zuylen, M., Cohan, A., &amp; Hajishirzi, H. (2020). Fact or fiction: Verifying scientific claims. In Proceedings of EMNLP (pp. 7534–7550). https://doi.org/10.18653/v1/2020.emnlp-main.609</w:t>
      </w:r>
    </w:p>
    <w:p>
      <w:r>
        <w:rPr>
          <w:b w:val="0"/>
          <w:i w:val="0"/>
          <w:sz w:val="20"/>
        </w:rPr>
        <w:t>Wang, L., Yang, N., Huang, X., Jiao, B., Yang, L., Jiang, D., Majumder, R., &amp; Wei, F. (2022). Text embeddings by weakly-supervised contrastive pre-training. arXiv:2212.03533. https://doi.org/10.48550/arXiv.2212.03533</w:t>
      </w:r>
    </w:p>
    <w:p>
      <w:r>
        <w:rPr>
          <w:b w:val="0"/>
          <w:i w:val="0"/>
          <w:sz w:val="20"/>
        </w:rPr>
        <w:t>Wang, L., Ma, C., Feng, X., Zhang, Z., Yang, H., Zhang, J., Chen, Z., Tang, J., Chen, X., Lin, Y., Zhao, W. X., Wei, Z., &amp; Wen, J.-R. (2024). A survey on large language model based autonomous agents. Frontiers of Computer Science, 18(6), 186345.</w:t>
      </w:r>
    </w:p>
    <w:p>
      <w:r>
        <w:rPr>
          <w:b w:val="0"/>
          <w:i w:val="0"/>
          <w:sz w:val="20"/>
        </w:rPr>
        <w:t>Wang, W., Wei, F., Dong, L., Bao, H., Yang, N., &amp; Zhou, M. (2020). MiniLM: Deep self-attention distillation for task-agnostic compression of pre-trained transformers. In Proceedings of NeurIPS.</w:t>
      </w:r>
    </w:p>
    <w:p>
      <w:r>
        <w:rPr>
          <w:b w:val="0"/>
          <w:i w:val="0"/>
          <w:sz w:val="20"/>
        </w:rPr>
        <w:t>Xiao, S., Liu, Z., Zhang, P., &amp; Muennighoff, N. (2023). C-Pack: Packaged resources to advance general Chinese embedding. arXiv:2309.07597. https://doi.org/10.48550/arXiv.2309.07597</w:t>
      </w:r>
    </w:p>
    <w:p>
      <w:r>
        <w:rPr>
          <w:b w:val="0"/>
          <w:i w:val="0"/>
          <w:sz w:val="20"/>
        </w:rPr>
        <w:t>Yousuf, R. B., Xu, S., Sharma, M., Neeser, A., Latimer, C., &amp; Ramakrishnan, N. (2026). Utilizing metadata for better retrieval-augmented generation. In Proceedings of ECIR (pp. 305–319). https://doi.org/10.1007/978-3-032-21289-4_20</w:t>
      </w:r>
    </w:p>
    <w:p>
      <w:r>
        <w:rPr>
          <w:b w:val="0"/>
          <w:i w:val="0"/>
          <w:sz w:val="20"/>
        </w:rPr>
        <w:t>Zhao, T., Zhu, Y., Tian, Y., &amp; Dou, Z. (2026). R^3AG: Retriever routing for retrieval-augmented generation. In Proceedings of ACL (pp. 20506–20522). https://doi.org/10.18653/v1/2026.acl-long.939</w:t>
      </w:r>
    </w:p>
    <w:p>
      <w:r>
        <w:rPr>
          <w:b w:val="0"/>
          <w:i w:val="0"/>
          <w:sz w:val="20"/>
        </w:rPr>
        <w:t>Zheng, L., Chiang, W.-L., Sheng, Y., Zhuang, S., Wu, Z., Zhuang, Y., Lin, Z., Li, Z., Li, D., Xing, E. P., Zhang, H., Gonzalez, J. E., &amp; Stoica, I. (2023). Judging LLM-as-a-judge with MT-Bench and Chatbot Arena. In Proceedings of NeurIPS Datasets and Benchmarks.</w:t>
      </w:r>
    </w:p>
    <w:p>
      <w:r>
        <w:rPr>
          <w:b w:val="0"/>
          <w:i w:val="0"/>
          <w:sz w:val="20"/>
        </w:rPr>
        <w:t>Zhuang, S., Zhuang, H., Koopman, B., &amp; Zuccon, G. (2024). A setwise approach for effective and highly efficient zero-shot ranking with large language models. In Proceedings of SIGIR (pp. 38–47).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