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</w:pPr>
      <w:r>
        <w:rPr>
          <w:b/>
          <w:i w:val="0"/>
          <w:sz w:val="28"/>
        </w:rPr>
        <w:t>Highlights</w:t>
      </w:r>
    </w:p>
    <w:p>
      <w:pPr>
        <w:pStyle w:val="ListBullet"/>
        <w:spacing w:after="40"/>
      </w:pPr>
      <w:r>
        <w:t>Metadata actions keep the underlying content retrieval unchanged.</w:t>
      </w:r>
    </w:p>
    <w:p>
      <w:pPr>
        <w:pStyle w:val="ListBullet"/>
        <w:spacing w:after="40"/>
      </w:pPr>
      <w:r>
        <w:t>A conservative gate intervenes only when local evidence is positive.</w:t>
      </w:r>
    </w:p>
    <w:p>
      <w:pPr>
        <w:pStyle w:val="ListBullet"/>
        <w:spacing w:after="40"/>
      </w:pPr>
      <w:r>
        <w:t>The method improves a strong baseline and abstains under weak evidence.</w:t>
      </w:r>
    </w:p>
    <w:p>
      <w:pPr>
        <w:pStyle w:val="ListBullet"/>
        <w:spacing w:after="40"/>
      </w:pPr>
      <w:r>
        <w:t>Independent train-to-test tests expose the limits of transfer.</w:t>
      </w:r>
    </w:p>
    <w:p>
      <w:pPr>
        <w:pStyle w:val="ListBullet"/>
        <w:spacing w:after="40"/>
      </w:pPr>
      <w:r>
        <w:t>Risk–coverage results quantify benefits and query-level harms.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