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BiblioGuard: Selective bibliographic metadata intervention for multi-domain scientific retrieval-augmented generation</w:t>
      </w:r>
    </w:p>
    <w:p>
      <w:pPr>
        <w:pStyle w:val="Heading1"/>
      </w:pPr>
      <w:r>
        <w:t>Abstract</w:t>
      </w:r>
    </w:p>
    <w:p>
      <w:pPr>
        <w:keepNext w:val="0"/>
      </w:pPr>
      <w:r>
        <w:rPr>
          <w:b w:val="0"/>
          <w:i w:val="0"/>
        </w:rPr>
        <w:t>Bibliographic metadata can improve scientific retrieval, but fixed citation or recency priors can also displace relevant evidence. We formulate metadata use as a selective intervention problem and introduce BiblioGuard, a lightweight decision layer for scientific retrieval-augmented generation. For each query, BiblioGuard retrieves similar historical queries, estimates paired NDCG@10 effects for nine atomic metadata actions, and intervenes only when the best Bonferroni-corrected pessimistic decision score is positive. Every action preserves the selected content retriever's scores, fusion rule, and candidate set, removing a confound in earlier metadata comparisons. Across four scientific benchmarks, the method raises SCIDOCS from 0.2164 to 0.2343 (gain 0.0179; paired-bootstrap 95% interval [0.0139, 0.0218]) against a strong SBERT-Dense fallback, while conservatively abstaining on the other domains. Ten fold seeds give a mean gain of 0.0180 ± 0.0009. Official train-to-test evaluations on SciFact and NFCorpus show near-complete abstention and no mean improvement, exposing limited transfer rather than hiding it. Risk–coverage analysis shows that conservative gating reduces harmed queries relative to unconstrained local or global routing. The contribution is a metadata-specific selective intervention policy, not a formal distribution-free safety guarantee.</w:t>
      </w:r>
    </w:p>
    <w:p>
      <w:pPr>
        <w:keepNext w:val="0"/>
      </w:pPr>
      <w:r>
        <w:rPr>
          <w:b w:val="0"/>
          <w:i/>
        </w:rPr>
        <w:t>Keywords: scientific information retrieval; retrieval-augmented generation; bibliographic metadata; selective prediction; query routing; abstention</w:t>
      </w:r>
    </w:p>
    <w:p>
      <w:pPr>
        <w:pStyle w:val="Heading1"/>
      </w:pPr>
      <w:r>
        <w:t>1. Introduction</w:t>
      </w:r>
    </w:p>
    <w:p>
      <w:pPr>
        <w:keepNext w:val="0"/>
      </w:pPr>
      <w:r>
        <w:rPr>
          <w:b w:val="0"/>
          <w:i w:val="0"/>
        </w:rPr>
        <w:t>Scientific retrieval-augmented generation (RAG) systems must select evidence from collections in which lexical match, semantic relevance, citation impact, publication time, and venue quality are only partly aligned. Content encoders directly address topical relevance. Bibliographic signals provide a different kind of evidence: they can favour influential or recent work, but they can also encode age, field, and popularity biases. A fixed metadata prior therefore creates a decision problem rather than a universally beneficial ranking feature.</w:t>
      </w:r>
    </w:p>
    <w:p>
      <w:pPr>
        <w:keepNext w:val="0"/>
      </w:pPr>
      <w:r>
        <w:rPr>
          <w:b w:val="0"/>
          <w:i w:val="0"/>
        </w:rPr>
        <w:t>The central question is not whether citations are correlated with relevance on average. It is whether a system should alter a strong content ranking for the current query. This distinction matters in deployed writing assistants: an unhelpful intervention changes the evidence exposed to the generator, whereas abstention retains a known content-only ranking.</w:t>
      </w:r>
    </w:p>
    <w:p>
      <w:pPr>
        <w:keepNext w:val="0"/>
      </w:pPr>
      <w:r>
        <w:rPr>
          <w:b w:val="0"/>
          <w:i w:val="0"/>
        </w:rPr>
        <w:t>We address this problem with BiblioGuard. The method treats citation and recency weights as atomic actions relative to the same underlying content retriever. It uses cross-fitted query similarity to estimate local paired effects, penalises uncertain actions and multiplicity, and otherwise selects the content fallback. The design borrows the useful non-parametric intuition of retrieval-based routers but changes the target from absolute model performance to the incremental effect of a metadata intervention.</w:t>
      </w:r>
    </w:p>
    <w:p>
      <w:pPr>
        <w:keepNext w:val="0"/>
      </w:pPr>
      <w:r>
        <w:rPr>
          <w:b w:val="0"/>
          <w:i w:val="0"/>
        </w:rPr>
        <w:t>The paper makes four bounded contributions:</w:t>
      </w:r>
    </w:p>
    <w:p>
      <w:pPr>
        <w:pStyle w:val="ListBullet"/>
        <w:spacing w:after="40"/>
      </w:pPr>
      <w:r>
        <w:t>A confound-free action construction in which metadata is the only ranking component that changes relative to a strong content fallback.</w:t>
      </w:r>
    </w:p>
    <w:p>
      <w:pPr>
        <w:pStyle w:val="ListBullet"/>
        <w:spacing w:after="40"/>
      </w:pPr>
      <w:r>
        <w:t>BiblioGuard, a metadata-specific local paired-effect policy with a multiplicity-corrected pessimistic gate and explicit abstention.</w:t>
      </w:r>
    </w:p>
    <w:p>
      <w:pPr>
        <w:pStyle w:val="ListBullet"/>
        <w:spacing w:after="40"/>
      </w:pPr>
      <w:r>
        <w:t>A four-domain evaluation with local/global routing baselines, gate and representation ablations, risk–coverage analysis, query-level harm counts, paired bootstrap intervals, and repeated folds.</w:t>
      </w:r>
    </w:p>
    <w:p>
      <w:pPr>
        <w:pStyle w:val="ListBullet"/>
        <w:spacing w:after="40"/>
      </w:pPr>
      <w:r>
        <w:t>An official train-to-test evaluation on two domains that documents both conservative transfer and the method's limited coverage.</w:t>
      </w:r>
    </w:p>
    <w:p>
      <w:pPr>
        <w:pStyle w:val="Heading1"/>
      </w:pPr>
      <w:r>
        <w:t>2. Related work and novelty boundary</w:t>
      </w:r>
    </w:p>
    <w:p>
      <w:pPr>
        <w:pStyle w:val="Heading2"/>
      </w:pPr>
      <w:r>
        <w:t>2.1. Scientific retrieval and bibliographic signals</w:t>
      </w:r>
    </w:p>
    <w:p>
      <w:pPr>
        <w:keepNext w:val="0"/>
      </w:pPr>
      <w:r>
        <w:rPr>
          <w:b w:val="0"/>
          <w:i w:val="0"/>
        </w:rPr>
        <w:t>Sparse and dense retrieval capture complementary matching signals, and hybrid fusion is a standard strategy on heterogeneous corpora (Thakur et al., 2021; Reimers and Gurevych, 2019; Xiao et al., 2023). Scientific search additionally exposes citation, publication-year, and venue metadata. Prior systems use metadata for filtering, reranking, source reliability, or citation-aware synthesis (Hwang et al., 2025; Yousuf et al., 2026; Ding et al., 2026). These studies motivate metadata-aware retrieval but do not imply that a fixed prior is safe for every query or corpus.</w:t>
      </w:r>
    </w:p>
    <w:p>
      <w:pPr>
        <w:pStyle w:val="Heading2"/>
      </w:pPr>
      <w:r>
        <w:t>2.2. Query routing and selective prediction</w:t>
      </w:r>
    </w:p>
    <w:p>
      <w:pPr>
        <w:keepNext w:val="0"/>
      </w:pPr>
      <w:r>
        <w:rPr>
          <w:b w:val="0"/>
          <w:i w:val="0"/>
        </w:rPr>
        <w:t>Adaptive RAG increasingly routes queries among retrievers or evidence sources. R3AG learns query-specific retriever capability from retrieval and generation supervision (Zhao et al., 2026), while RouteRAG jointly learns graph/text retrieval decisions (Guo et al., 2026). ContextualRouter estimates candidate performance from similar historical queries and reports that a simple k-nearest-neighbour mean is highly competitive (Varangot-Reille et al., 2026). We therefore include that simple local-mean rule as a direct experimental baseline.</w:t>
      </w:r>
    </w:p>
    <w:p>
      <w:pPr>
        <w:keepNext w:val="0"/>
      </w:pPr>
      <w:r>
        <w:rPr>
          <w:b w:val="0"/>
          <w:i w:val="0"/>
        </w:rPr>
        <w:t>Abstention and conservative policy improvement offer a second foundation. Selective prediction studies risk as coverage changes (Geifman and El-Yaniv, 2019), and high-confidence policy improvement compares a proposed policy with a baseline (Thomas et al., 2015). Recent conformal routing provides distribution-free violation-rate guarantees under explicit calibration assumptions (Uddin and Bauer, 2026). BiblioGuard does not provide that guarantee. Its weighted neighbours are dependent and similarity-selected; its score must be read as an operational pessimistic decision score; it is not a formal confidence bound.</w:t>
      </w:r>
    </w:p>
    <w:p>
      <w:pPr>
        <w:pStyle w:val="Heading2"/>
      </w:pPr>
      <w:r>
        <w:t>2.3. What is new here</w:t>
      </w:r>
    </w:p>
    <w:tbl>
      <w:tblPr>
        <w:tblStyle w:val="TableGrid"/>
        <w:tblW w:type="auto" w:w="0"/>
        <w:tblLayout w:type="autofit"/>
        <w:tblLook w:firstColumn="1" w:firstRow="1" w:lastColumn="0" w:lastRow="0" w:noHBand="0" w:noVBand="1" w:val="04A0"/>
      </w:tblPr>
      <w:tblGrid>
        <w:gridCol w:w="2498"/>
        <w:gridCol w:w="2498"/>
        <w:gridCol w:w="2498"/>
        <w:gridCol w:w="2498"/>
      </w:tblGrid>
      <w:tr>
        <w:trPr>
          <w:tblHeader/>
        </w:trPr>
        <w:tc>
          <w:tcPr>
            <w:tcW w:type="dxa" w:w="2498"/>
            <w:vAlign w:val="center"/>
          </w:tcPr>
          <w:p>
            <w:r>
              <w:rPr>
                <w:b/>
                <w:sz w:val="14"/>
              </w:rPr>
              <w:t>Method family</w:t>
            </w:r>
          </w:p>
        </w:tc>
        <w:tc>
          <w:tcPr>
            <w:tcW w:type="dxa" w:w="2498"/>
            <w:vAlign w:val="center"/>
          </w:tcPr>
          <w:p>
            <w:r>
              <w:rPr>
                <w:b/>
                <w:sz w:val="14"/>
              </w:rPr>
              <w:t>Prediction target</w:t>
            </w:r>
          </w:p>
        </w:tc>
        <w:tc>
          <w:tcPr>
            <w:tcW w:type="dxa" w:w="2498"/>
            <w:vAlign w:val="center"/>
          </w:tcPr>
          <w:p>
            <w:r>
              <w:rPr>
                <w:b/>
                <w:sz w:val="14"/>
              </w:rPr>
              <w:t>Uncertainty/abstention</w:t>
            </w:r>
          </w:p>
        </w:tc>
        <w:tc>
          <w:tcPr>
            <w:tcW w:type="dxa" w:w="2498"/>
            <w:vAlign w:val="center"/>
          </w:tcPr>
          <w:p>
            <w:r>
              <w:rPr>
                <w:b/>
                <w:sz w:val="14"/>
              </w:rPr>
              <w:t>Our distinction</w:t>
            </w:r>
          </w:p>
        </w:tc>
      </w:tr>
      <w:tr>
        <w:trPr>
          <w:cantSplit/>
        </w:trPr>
        <w:tc>
          <w:tcPr>
            <w:tcW w:type="dxa" w:w="2498"/>
            <w:vAlign w:val="center"/>
          </w:tcPr>
          <w:p>
            <w:r>
              <w:rPr>
                <w:sz w:val="14"/>
              </w:rPr>
              <w:t>ContextualRouter-style kNN</w:t>
            </w:r>
          </w:p>
        </w:tc>
        <w:tc>
          <w:tcPr>
            <w:tcW w:type="dxa" w:w="2498"/>
            <w:vAlign w:val="center"/>
          </w:tcPr>
          <w:p>
            <w:r>
              <w:rPr>
                <w:sz w:val="14"/>
              </w:rPr>
              <w:t>Absolute candidate performance</w:t>
            </w:r>
          </w:p>
        </w:tc>
        <w:tc>
          <w:tcPr>
            <w:tcW w:type="dxa" w:w="2498"/>
            <w:vAlign w:val="center"/>
          </w:tcPr>
          <w:p>
            <w:r>
              <w:rPr>
                <w:sz w:val="14"/>
              </w:rPr>
              <w:t>Optional cost rule</w:t>
            </w:r>
          </w:p>
        </w:tc>
        <w:tc>
          <w:tcPr>
            <w:tcW w:type="dxa" w:w="2498"/>
            <w:vAlign w:val="center"/>
          </w:tcPr>
          <w:p>
            <w:r>
              <w:rPr>
                <w:sz w:val="14"/>
              </w:rPr>
              <w:t>Paired metadata effect, same-content fallback</w:t>
            </w:r>
          </w:p>
        </w:tc>
      </w:tr>
      <w:tr>
        <w:trPr>
          <w:cantSplit/>
        </w:trPr>
        <w:tc>
          <w:tcPr>
            <w:tcW w:type="dxa" w:w="2498"/>
            <w:vAlign w:val="center"/>
          </w:tcPr>
          <w:p>
            <w:r>
              <w:rPr>
                <w:sz w:val="14"/>
              </w:rPr>
              <w:t>Safe policy improvement</w:t>
            </w:r>
          </w:p>
        </w:tc>
        <w:tc>
          <w:tcPr>
            <w:tcW w:type="dxa" w:w="2498"/>
            <w:vAlign w:val="center"/>
          </w:tcPr>
          <w:p>
            <w:r>
              <w:rPr>
                <w:sz w:val="14"/>
              </w:rPr>
              <w:t>Policy return vs baseline</w:t>
            </w:r>
          </w:p>
        </w:tc>
        <w:tc>
          <w:tcPr>
            <w:tcW w:type="dxa" w:w="2498"/>
            <w:vAlign w:val="center"/>
          </w:tcPr>
          <w:p>
            <w:r>
              <w:rPr>
                <w:sz w:val="14"/>
              </w:rPr>
              <w:t>Formal bounds under assumptions</w:t>
            </w:r>
          </w:p>
        </w:tc>
        <w:tc>
          <w:tcPr>
            <w:tcW w:type="dxa" w:w="2498"/>
            <w:vAlign w:val="center"/>
          </w:tcPr>
          <w:p>
            <w:r>
              <w:rPr>
                <w:sz w:val="14"/>
              </w:rPr>
              <w:t>Offline retrieval action; no formal safety claim</w:t>
            </w:r>
          </w:p>
        </w:tc>
      </w:tr>
      <w:tr>
        <w:trPr>
          <w:cantSplit/>
        </w:trPr>
        <w:tc>
          <w:tcPr>
            <w:tcW w:type="dxa" w:w="2498"/>
            <w:vAlign w:val="center"/>
          </w:tcPr>
          <w:p>
            <w:r>
              <w:rPr>
                <w:sz w:val="14"/>
              </w:rPr>
              <w:t>Selective prediction</w:t>
            </w:r>
          </w:p>
        </w:tc>
        <w:tc>
          <w:tcPr>
            <w:tcW w:type="dxa" w:w="2498"/>
            <w:vAlign w:val="center"/>
          </w:tcPr>
          <w:p>
            <w:r>
              <w:rPr>
                <w:sz w:val="14"/>
              </w:rPr>
              <w:t>Prediction correctness/risk</w:t>
            </w:r>
          </w:p>
        </w:tc>
        <w:tc>
          <w:tcPr>
            <w:tcW w:type="dxa" w:w="2498"/>
            <w:vAlign w:val="center"/>
          </w:tcPr>
          <w:p>
            <w:r>
              <w:rPr>
                <w:sz w:val="14"/>
              </w:rPr>
              <w:t>Reject option</w:t>
            </w:r>
          </w:p>
        </w:tc>
        <w:tc>
          <w:tcPr>
            <w:tcW w:type="dxa" w:w="2498"/>
            <w:vAlign w:val="center"/>
          </w:tcPr>
          <w:p>
            <w:r>
              <w:rPr>
                <w:sz w:val="14"/>
              </w:rPr>
              <w:t>Intervention coverage and retrieval harm</w:t>
            </w:r>
          </w:p>
        </w:tc>
      </w:tr>
      <w:tr>
        <w:trPr>
          <w:cantSplit/>
        </w:trPr>
        <w:tc>
          <w:tcPr>
            <w:tcW w:type="dxa" w:w="2498"/>
            <w:vAlign w:val="center"/>
          </w:tcPr>
          <w:p>
            <w:r>
              <w:rPr>
                <w:sz w:val="14"/>
              </w:rPr>
              <w:t>BiblioGuard</w:t>
            </w:r>
          </w:p>
        </w:tc>
        <w:tc>
          <w:tcPr>
            <w:tcW w:type="dxa" w:w="2498"/>
            <w:vAlign w:val="center"/>
          </w:tcPr>
          <w:p>
            <w:r>
              <w:rPr>
                <w:sz w:val="14"/>
              </w:rPr>
              <w:t>Incremental NDCG@10 effect</w:t>
            </w:r>
          </w:p>
        </w:tc>
        <w:tc>
          <w:tcPr>
            <w:tcW w:type="dxa" w:w="2498"/>
            <w:vAlign w:val="center"/>
          </w:tcPr>
          <w:p>
            <w:r>
              <w:rPr>
                <w:sz w:val="14"/>
              </w:rPr>
              <w:t>Pessimistic score; fallback</w:t>
            </w:r>
          </w:p>
        </w:tc>
        <w:tc>
          <w:tcPr>
            <w:tcW w:type="dxa" w:w="2498"/>
            <w:vAlign w:val="center"/>
          </w:tcPr>
          <w:p>
            <w:r>
              <w:rPr>
                <w:sz w:val="14"/>
              </w:rPr>
              <w:t>Bibliographic intervention for scientific retrieval</w:t>
            </w:r>
          </w:p>
        </w:tc>
      </w:tr>
    </w:tbl>
    <w:p>
      <w:pPr>
        <w:spacing w:after="20"/>
      </w:pPr>
    </w:p>
    <w:p>
      <w:pPr>
        <w:keepNext w:val="0"/>
      </w:pPr>
      <w:r>
        <w:rPr>
          <w:b w:val="0"/>
          <w:i w:val="0"/>
        </w:rPr>
        <w:t>The novelty is consequently application-methodological: the action definition, paired-effect target, multiplicity-aware gate, and same-content fallback are integrated for bibliographic intervention. We do not claim a new general statistical theory or use “first”.</w:t>
      </w:r>
    </w:p>
    <w:p>
      <w:pPr>
        <w:pStyle w:val="Heading1"/>
      </w:pPr>
      <w:r>
        <w:t>3. Problem formulation</w:t>
      </w:r>
    </w:p>
    <w:p>
      <w:pPr>
        <w:keepNext w:val="0"/>
      </w:pPr>
      <w:r>
        <w:rPr>
          <w:b w:val="0"/>
          <w:i w:val="0"/>
        </w:rPr>
        <w:t>Let q be a query, D a corpus, s₀(q,d) the score produced by a content-only retriever, and zₘ(d) a normalised metadata signal m ∈ {citation, recency}. The fallback ranking uses s₀. An atomic action a=(m,λ) reranks only the top-100 fallback candidates with sₐ(q,d) = s₀(q,d) + λzₘ(d). The action does not change the content retriever, its sparse/dense fusion, or its candidate set. Citation actions use λ ∈ {.05,.10,.15,.20,.30}; recency actions use λ ∈ {.05,.10,.15,.20}.</w:t>
      </w:r>
    </w:p>
    <w:p>
      <w:pPr>
        <w:keepNext w:val="0"/>
      </w:pPr>
      <w:r>
        <w:rPr>
          <w:b w:val="0"/>
          <w:i w:val="0"/>
        </w:rPr>
        <w:t>For historical query i, the paired action effect is Δᵢ(a) = NDCG@10ᵢ(a) − NDCG@10ᵢ(0), where 0 denotes fallback. The policy observes query text and historical paired effects, but not the relevance judgements of the query being routed. Its output is either one atomic action or fallback.</w:t>
      </w:r>
    </w:p>
    <w:p>
      <w:pPr>
        <w:pStyle w:val="Heading1"/>
      </w:pPr>
      <w:r>
        <w:t>4. BiblioGuard</w:t>
      </w:r>
    </w:p>
    <w:p>
      <w:pPr>
        <w:pStyle w:val="Heading2"/>
      </w:pPr>
      <w:r>
        <w:t>4.1. Training-fold content fallback</w:t>
      </w:r>
    </w:p>
    <w:p>
      <w:pPr>
        <w:keepNext w:val="0"/>
      </w:pPr>
      <w:r>
        <w:rPr>
          <w:b w:val="0"/>
          <w:i w:val="0"/>
        </w:rPr>
        <w:t>Within each outer fold, BiblioGuard selects the content-only candidate with the highest training-fold mean NDCG@10 among the candidates for which same-content actions are available. Candidates include SBERT-Dense, BGE-Dense, Neural-Hybrid, and BGE-Hybrid where document scores are available. The held-out fold does not influence this selection. This directly answers why the method should not be compared only with an arbitrary 0.5/0.5 hybrid.</w:t>
      </w:r>
    </w:p>
    <w:p>
      <w:pPr>
        <w:pStyle w:val="Heading2"/>
      </w:pPr>
      <w:r>
        <w:t>4.2. Local paired-effect estimation</w:t>
      </w:r>
    </w:p>
    <w:p>
      <w:pPr>
        <w:keepNext w:val="0"/>
      </w:pPr>
      <w:r>
        <w:rPr>
          <w:b w:val="0"/>
          <w:i w:val="0"/>
        </w:rPr>
        <w:t>Word TF-IDF (1–2 grams) and character TF-IDF (3–5 grams) are fitted only on training queries. For a held-out query, cosine similarity selects k = ⌈√nₜʳₐᶢₙ⌉ neighbours. Non-negative similarities plus 0.001 are normalised to weights wᵢ. For every action, the weighted mean effect is μ̂ₐ = ∑ᵢ wᵢΔᵢ(a). We use the unbiased weighted variance vₐ = ∑ᵢ wᵢ(Δᵢ(a) − μ̂ₐ)² / (1 − ∑ᵢ wᵢ²), effective sample size nₑ = 1 / ∑ᵢ wᵢ², and SEₐ = √(vₐ ∑ᵢ wᵢ²).</w:t>
      </w:r>
    </w:p>
    <w:p>
      <w:pPr>
        <w:pStyle w:val="Heading2"/>
      </w:pPr>
      <w:r>
        <w:t>4.3. Pessimistic decision score and abstention</w:t>
      </w:r>
    </w:p>
    <w:p>
      <w:pPr>
        <w:keepNext w:val="0"/>
      </w:pPr>
      <w:r>
        <w:rPr>
          <w:b w:val="0"/>
          <w:i w:val="0"/>
        </w:rPr>
        <w:t>For nine actions and family α=.05, the decision score is PDSₐ = μ̂ₐ − t(1 − α/9, ⌊nₑ⌋ − 1)SEₐ. BiblioGuard selects the action with maximal PDS only if that maximum is positive; otherwise it returns the content fallback. The Bonferroni term addresses the within-query action search. Because retrieved neighbours are similarity-selected rather than independent observations, PDS is not labelled a confidence bound.</w:t>
      </w:r>
    </w:p>
    <w:p>
      <w:pPr>
        <w:keepNext/>
      </w:pPr>
      <w:r>
        <w:rPr>
          <w:b/>
          <w:i w:val="0"/>
        </w:rPr>
        <w:t>Algorithm 1. Cross-fitted BiblioGuard</w:t>
      </w:r>
    </w:p>
    <w:tbl>
      <w:tblPr>
        <w:tblStyle w:val="TableGrid"/>
        <w:tblW w:type="auto" w:w="0"/>
        <w:tblLayout w:type="autofit"/>
        <w:tblLook w:firstColumn="1" w:firstRow="1" w:lastColumn="0" w:lastRow="0" w:noHBand="0" w:noVBand="1" w:val="04A0"/>
      </w:tblPr>
      <w:tblGrid>
        <w:gridCol w:w="4997"/>
        <w:gridCol w:w="4997"/>
      </w:tblGrid>
      <w:tr>
        <w:trPr>
          <w:tblHeader/>
        </w:trPr>
        <w:tc>
          <w:tcPr>
            <w:tcW w:type="dxa" w:w="4997"/>
            <w:vAlign w:val="center"/>
          </w:tcPr>
          <w:p>
            <w:r>
              <w:rPr>
                <w:b/>
                <w:sz w:val="15"/>
              </w:rPr>
              <w:t>Step</w:t>
            </w:r>
          </w:p>
        </w:tc>
        <w:tc>
          <w:tcPr>
            <w:tcW w:type="dxa" w:w="4997"/>
            <w:vAlign w:val="center"/>
          </w:tcPr>
          <w:p>
            <w:r>
              <w:rPr>
                <w:b/>
                <w:sz w:val="15"/>
              </w:rPr>
              <w:t>Operation</w:t>
            </w:r>
          </w:p>
        </w:tc>
      </w:tr>
      <w:tr>
        <w:trPr>
          <w:cantSplit/>
        </w:trPr>
        <w:tc>
          <w:tcPr>
            <w:tcW w:type="dxa" w:w="4997"/>
            <w:vAlign w:val="center"/>
          </w:tcPr>
          <w:p>
            <w:r>
              <w:rPr>
                <w:sz w:val="15"/>
              </w:rPr>
              <w:t>1</w:t>
            </w:r>
          </w:p>
        </w:tc>
        <w:tc>
          <w:tcPr>
            <w:tcW w:type="dxa" w:w="4997"/>
            <w:vAlign w:val="center"/>
          </w:tcPr>
          <w:p>
            <w:r>
              <w:rPr>
                <w:sz w:val="15"/>
              </w:rPr>
              <w:t>Split queries; select the strongest content fallback on outer-training labels.</w:t>
            </w:r>
          </w:p>
        </w:tc>
      </w:tr>
      <w:tr>
        <w:trPr>
          <w:cantSplit/>
        </w:trPr>
        <w:tc>
          <w:tcPr>
            <w:tcW w:type="dxa" w:w="4997"/>
            <w:vAlign w:val="center"/>
          </w:tcPr>
          <w:p>
            <w:r>
              <w:rPr>
                <w:sz w:val="15"/>
              </w:rPr>
              <w:t>2</w:t>
            </w:r>
          </w:p>
        </w:tc>
        <w:tc>
          <w:tcPr>
            <w:tcW w:type="dxa" w:w="4997"/>
            <w:vAlign w:val="center"/>
          </w:tcPr>
          <w:p>
            <w:r>
              <w:rPr>
                <w:sz w:val="15"/>
              </w:rPr>
              <w:t>Construct nine same-content atomic metadata outcomes for training and held-out queries.</w:t>
            </w:r>
          </w:p>
        </w:tc>
      </w:tr>
      <w:tr>
        <w:trPr>
          <w:cantSplit/>
        </w:trPr>
        <w:tc>
          <w:tcPr>
            <w:tcW w:type="dxa" w:w="4997"/>
            <w:vAlign w:val="center"/>
          </w:tcPr>
          <w:p>
            <w:r>
              <w:rPr>
                <w:sz w:val="15"/>
              </w:rPr>
              <w:t>3</w:t>
            </w:r>
          </w:p>
        </w:tc>
        <w:tc>
          <w:tcPr>
            <w:tcW w:type="dxa" w:w="4997"/>
            <w:vAlign w:val="center"/>
          </w:tcPr>
          <w:p>
            <w:r>
              <w:rPr>
                <w:sz w:val="15"/>
              </w:rPr>
              <w:t>Fit word/character TF-IDF on training text; retrieve k similar training queries.</w:t>
            </w:r>
          </w:p>
        </w:tc>
      </w:tr>
      <w:tr>
        <w:trPr>
          <w:cantSplit/>
        </w:trPr>
        <w:tc>
          <w:tcPr>
            <w:tcW w:type="dxa" w:w="4997"/>
            <w:vAlign w:val="center"/>
          </w:tcPr>
          <w:p>
            <w:r>
              <w:rPr>
                <w:sz w:val="15"/>
              </w:rPr>
              <w:t>4</w:t>
            </w:r>
          </w:p>
        </w:tc>
        <w:tc>
          <w:tcPr>
            <w:tcW w:type="dxa" w:w="4997"/>
            <w:vAlign w:val="center"/>
          </w:tcPr>
          <w:p>
            <w:r>
              <w:rPr>
                <w:sz w:val="15"/>
              </w:rPr>
              <w:t>Estimate weighted paired effects, variance, effective sample size, and PDS per action.</w:t>
            </w:r>
          </w:p>
        </w:tc>
      </w:tr>
      <w:tr>
        <w:trPr>
          <w:cantSplit/>
        </w:trPr>
        <w:tc>
          <w:tcPr>
            <w:tcW w:type="dxa" w:w="4997"/>
            <w:vAlign w:val="center"/>
          </w:tcPr>
          <w:p>
            <w:r>
              <w:rPr>
                <w:sz w:val="15"/>
              </w:rPr>
              <w:t>5</w:t>
            </w:r>
          </w:p>
        </w:tc>
        <w:tc>
          <w:tcPr>
            <w:tcW w:type="dxa" w:w="4997"/>
            <w:vAlign w:val="center"/>
          </w:tcPr>
          <w:p>
            <w:r>
              <w:rPr>
                <w:sz w:val="15"/>
              </w:rPr>
              <w:t>Apply argmax action if max PDS&gt;0; otherwise return the content-only fallback.</w:t>
            </w:r>
          </w:p>
        </w:tc>
      </w:tr>
    </w:tbl>
    <w:p>
      <w:pPr>
        <w:spacing w:after="20"/>
      </w:pPr>
    </w:p>
    <w:p>
      <w:pPr>
        <w:pStyle w:val="Heading2"/>
      </w:pPr>
      <w:r>
        <w:t>4.4. Computational complexity</w:t>
      </w:r>
    </w:p>
    <w:p>
      <w:pPr>
        <w:keepNext w:val="0"/>
      </w:pPr>
      <w:r>
        <w:rPr>
          <w:b w:val="0"/>
          <w:i w:val="0"/>
        </w:rPr>
        <w:t>After content retrieval, an intervention reranks at most 100 documents. Routing requires one sparse query projection and a similarity search over historical query vectors. The reference code uses exact cosine search; approximate nearest-neighbour indexing can replace it without changing the decision rule.</w:t>
      </w:r>
    </w:p>
    <w:p>
      <w:pPr>
        <w:pStyle w:val="Heading1"/>
      </w:pPr>
      <w:r>
        <w:t>5. Experimental design</w:t>
      </w:r>
    </w:p>
    <w:p>
      <w:pPr>
        <w:pStyle w:val="Heading2"/>
      </w:pPr>
      <w:r>
        <w:t>5.1. Datasets and frozen metadata</w:t>
      </w:r>
    </w:p>
    <w:tbl>
      <w:tblPr>
        <w:tblStyle w:val="TableGrid"/>
        <w:tblW w:type="auto" w:w="0"/>
        <w:tblLayout w:type="autofit"/>
        <w:tblLook w:firstColumn="1" w:firstRow="1" w:lastColumn="0" w:lastRow="0" w:noHBand="0" w:noVBand="1" w:val="04A0"/>
      </w:tblPr>
      <w:tblGrid>
        <w:gridCol w:w="1666"/>
        <w:gridCol w:w="1666"/>
        <w:gridCol w:w="1666"/>
        <w:gridCol w:w="1666"/>
        <w:gridCol w:w="1666"/>
        <w:gridCol w:w="1666"/>
      </w:tblGrid>
      <w:tr>
        <w:trPr>
          <w:tblHeader/>
        </w:trPr>
        <w:tc>
          <w:tcPr>
            <w:tcW w:type="dxa" w:w="1666"/>
            <w:vAlign w:val="center"/>
          </w:tcPr>
          <w:p>
            <w:r>
              <w:rPr>
                <w:b/>
                <w:sz w:val="15"/>
              </w:rPr>
              <w:t>Dataset</w:t>
            </w:r>
          </w:p>
        </w:tc>
        <w:tc>
          <w:tcPr>
            <w:tcW w:type="dxa" w:w="1666"/>
            <w:vAlign w:val="center"/>
          </w:tcPr>
          <w:p>
            <w:r>
              <w:rPr>
                <w:b/>
                <w:sz w:val="15"/>
              </w:rPr>
              <w:t>Domain</w:t>
            </w:r>
          </w:p>
        </w:tc>
        <w:tc>
          <w:tcPr>
            <w:tcW w:type="dxa" w:w="1666"/>
            <w:vAlign w:val="center"/>
          </w:tcPr>
          <w:p>
            <w:r>
              <w:rPr>
                <w:b/>
                <w:sz w:val="15"/>
              </w:rPr>
              <w:t>Documents</w:t>
            </w:r>
          </w:p>
        </w:tc>
        <w:tc>
          <w:tcPr>
            <w:tcW w:type="dxa" w:w="1666"/>
            <w:vAlign w:val="center"/>
          </w:tcPr>
          <w:p>
            <w:r>
              <w:rPr>
                <w:b/>
                <w:sz w:val="15"/>
              </w:rPr>
              <w:t>Test queries</w:t>
            </w:r>
          </w:p>
        </w:tc>
        <w:tc>
          <w:tcPr>
            <w:tcW w:type="dxa" w:w="1666"/>
            <w:vAlign w:val="center"/>
          </w:tcPr>
          <w:p>
            <w:r>
              <w:rPr>
                <w:b/>
                <w:sz w:val="15"/>
              </w:rPr>
              <w:t>Citation coverage</w:t>
            </w:r>
          </w:p>
        </w:tc>
        <w:tc>
          <w:tcPr>
            <w:tcW w:type="dxa" w:w="1666"/>
            <w:vAlign w:val="center"/>
          </w:tcPr>
          <w:p>
            <w:r>
              <w:rPr>
                <w:b/>
                <w:sz w:val="15"/>
              </w:rPr>
              <w:t>Year coverage</w:t>
            </w:r>
          </w:p>
        </w:tc>
      </w:tr>
      <w:tr>
        <w:trPr>
          <w:cantSplit/>
        </w:trPr>
        <w:tc>
          <w:tcPr>
            <w:tcW w:type="dxa" w:w="1666"/>
            <w:vAlign w:val="center"/>
          </w:tcPr>
          <w:p>
            <w:r>
              <w:rPr>
                <w:sz w:val="15"/>
              </w:rPr>
              <w:t>SCIDOCS</w:t>
            </w:r>
          </w:p>
        </w:tc>
        <w:tc>
          <w:tcPr>
            <w:tcW w:type="dxa" w:w="1666"/>
            <w:vAlign w:val="center"/>
          </w:tcPr>
          <w:p>
            <w:r>
              <w:rPr>
                <w:sz w:val="15"/>
              </w:rPr>
              <w:t>computer science</w:t>
            </w:r>
          </w:p>
        </w:tc>
        <w:tc>
          <w:tcPr>
            <w:tcW w:type="dxa" w:w="1666"/>
            <w:vAlign w:val="center"/>
          </w:tcPr>
          <w:p>
            <w:r>
              <w:rPr>
                <w:sz w:val="15"/>
              </w:rPr>
              <w:t>25,657</w:t>
            </w:r>
          </w:p>
        </w:tc>
        <w:tc>
          <w:tcPr>
            <w:tcW w:type="dxa" w:w="1666"/>
            <w:vAlign w:val="center"/>
          </w:tcPr>
          <w:p>
            <w:r>
              <w:rPr>
                <w:sz w:val="15"/>
              </w:rPr>
              <w:t>1,000</w:t>
            </w:r>
          </w:p>
        </w:tc>
        <w:tc>
          <w:tcPr>
            <w:tcW w:type="dxa" w:w="1666"/>
            <w:vAlign w:val="center"/>
          </w:tcPr>
          <w:p>
            <w:r>
              <w:rPr>
                <w:sz w:val="15"/>
              </w:rPr>
              <w:t>99.7%</w:t>
            </w:r>
          </w:p>
        </w:tc>
        <w:tc>
          <w:tcPr>
            <w:tcW w:type="dxa" w:w="1666"/>
            <w:vAlign w:val="center"/>
          </w:tcPr>
          <w:p>
            <w:r>
              <w:rPr>
                <w:sz w:val="15"/>
              </w:rPr>
              <w:t>98.7%</w:t>
            </w:r>
          </w:p>
        </w:tc>
      </w:tr>
      <w:tr>
        <w:trPr>
          <w:cantSplit/>
        </w:trPr>
        <w:tc>
          <w:tcPr>
            <w:tcW w:type="dxa" w:w="1666"/>
            <w:vAlign w:val="center"/>
          </w:tcPr>
          <w:p>
            <w:r>
              <w:rPr>
                <w:sz w:val="15"/>
              </w:rPr>
              <w:t>SciFact</w:t>
            </w:r>
          </w:p>
        </w:tc>
        <w:tc>
          <w:tcPr>
            <w:tcW w:type="dxa" w:w="1666"/>
            <w:vAlign w:val="center"/>
          </w:tcPr>
          <w:p>
            <w:r>
              <w:rPr>
                <w:sz w:val="15"/>
              </w:rPr>
              <w:t>biomedical claims</w:t>
            </w:r>
          </w:p>
        </w:tc>
        <w:tc>
          <w:tcPr>
            <w:tcW w:type="dxa" w:w="1666"/>
            <w:vAlign w:val="center"/>
          </w:tcPr>
          <w:p>
            <w:r>
              <w:rPr>
                <w:sz w:val="15"/>
              </w:rPr>
              <w:t>5,183</w:t>
            </w:r>
          </w:p>
        </w:tc>
        <w:tc>
          <w:tcPr>
            <w:tcW w:type="dxa" w:w="1666"/>
            <w:vAlign w:val="center"/>
          </w:tcPr>
          <w:p>
            <w:r>
              <w:rPr>
                <w:sz w:val="15"/>
              </w:rPr>
              <w:t>300</w:t>
            </w:r>
          </w:p>
        </w:tc>
        <w:tc>
          <w:tcPr>
            <w:tcW w:type="dxa" w:w="1666"/>
            <w:vAlign w:val="center"/>
          </w:tcPr>
          <w:p>
            <w:r>
              <w:rPr>
                <w:sz w:val="15"/>
              </w:rPr>
              <w:t>94.1%</w:t>
            </w:r>
          </w:p>
        </w:tc>
        <w:tc>
          <w:tcPr>
            <w:tcW w:type="dxa" w:w="1666"/>
            <w:vAlign w:val="center"/>
          </w:tcPr>
          <w:p>
            <w:r>
              <w:rPr>
                <w:sz w:val="15"/>
              </w:rPr>
              <w:t>93.8%</w:t>
            </w:r>
          </w:p>
        </w:tc>
      </w:tr>
      <w:tr>
        <w:trPr>
          <w:cantSplit/>
        </w:trPr>
        <w:tc>
          <w:tcPr>
            <w:tcW w:type="dxa" w:w="1666"/>
            <w:vAlign w:val="center"/>
          </w:tcPr>
          <w:p>
            <w:r>
              <w:rPr>
                <w:sz w:val="15"/>
              </w:rPr>
              <w:t>NFCorpus</w:t>
            </w:r>
          </w:p>
        </w:tc>
        <w:tc>
          <w:tcPr>
            <w:tcW w:type="dxa" w:w="1666"/>
            <w:vAlign w:val="center"/>
          </w:tcPr>
          <w:p>
            <w:r>
              <w:rPr>
                <w:sz w:val="15"/>
              </w:rPr>
              <w:t>nutrition / medicine</w:t>
            </w:r>
          </w:p>
        </w:tc>
        <w:tc>
          <w:tcPr>
            <w:tcW w:type="dxa" w:w="1666"/>
            <w:vAlign w:val="center"/>
          </w:tcPr>
          <w:p>
            <w:r>
              <w:rPr>
                <w:sz w:val="15"/>
              </w:rPr>
              <w:t>3,633</w:t>
            </w:r>
          </w:p>
        </w:tc>
        <w:tc>
          <w:tcPr>
            <w:tcW w:type="dxa" w:w="1666"/>
            <w:vAlign w:val="center"/>
          </w:tcPr>
          <w:p>
            <w:r>
              <w:rPr>
                <w:sz w:val="15"/>
              </w:rPr>
              <w:t>323</w:t>
            </w:r>
          </w:p>
        </w:tc>
        <w:tc>
          <w:tcPr>
            <w:tcW w:type="dxa" w:w="1666"/>
            <w:vAlign w:val="center"/>
          </w:tcPr>
          <w:p>
            <w:r>
              <w:rPr>
                <w:sz w:val="15"/>
              </w:rPr>
              <w:t>94.0%</w:t>
            </w:r>
          </w:p>
        </w:tc>
        <w:tc>
          <w:tcPr>
            <w:tcW w:type="dxa" w:w="1666"/>
            <w:vAlign w:val="center"/>
          </w:tcPr>
          <w:p>
            <w:r>
              <w:rPr>
                <w:sz w:val="15"/>
              </w:rPr>
              <w:t>94.0%</w:t>
            </w:r>
          </w:p>
        </w:tc>
      </w:tr>
      <w:tr>
        <w:trPr>
          <w:cantSplit/>
        </w:trPr>
        <w:tc>
          <w:tcPr>
            <w:tcW w:type="dxa" w:w="1666"/>
            <w:vAlign w:val="center"/>
          </w:tcPr>
          <w:p>
            <w:r>
              <w:rPr>
                <w:sz w:val="15"/>
              </w:rPr>
              <w:t>TREC-COVID</w:t>
            </w:r>
          </w:p>
        </w:tc>
        <w:tc>
          <w:tcPr>
            <w:tcW w:type="dxa" w:w="1666"/>
            <w:vAlign w:val="center"/>
          </w:tcPr>
          <w:p>
            <w:r>
              <w:rPr>
                <w:sz w:val="15"/>
              </w:rPr>
              <w:t>COVID-19 biomedicine</w:t>
            </w:r>
          </w:p>
        </w:tc>
        <w:tc>
          <w:tcPr>
            <w:tcW w:type="dxa" w:w="1666"/>
            <w:vAlign w:val="center"/>
          </w:tcPr>
          <w:p>
            <w:r>
              <w:rPr>
                <w:sz w:val="15"/>
              </w:rPr>
              <w:t>171,332</w:t>
            </w:r>
          </w:p>
        </w:tc>
        <w:tc>
          <w:tcPr>
            <w:tcW w:type="dxa" w:w="1666"/>
            <w:vAlign w:val="center"/>
          </w:tcPr>
          <w:p>
            <w:r>
              <w:rPr>
                <w:sz w:val="15"/>
              </w:rPr>
              <w:t>50</w:t>
            </w:r>
          </w:p>
        </w:tc>
        <w:tc>
          <w:tcPr>
            <w:tcW w:type="dxa" w:w="1666"/>
            <w:vAlign w:val="center"/>
          </w:tcPr>
          <w:p>
            <w:r>
              <w:rPr>
                <w:sz w:val="15"/>
              </w:rPr>
              <w:t>69.8%</w:t>
            </w:r>
          </w:p>
        </w:tc>
        <w:tc>
          <w:tcPr>
            <w:tcW w:type="dxa" w:w="1666"/>
            <w:vAlign w:val="center"/>
          </w:tcPr>
          <w:p>
            <w:r>
              <w:rPr>
                <w:sz w:val="15"/>
              </w:rPr>
              <w:t>96.4%</w:t>
            </w:r>
          </w:p>
        </w:tc>
      </w:tr>
    </w:tbl>
    <w:p>
      <w:pPr>
        <w:spacing w:after="20"/>
      </w:pPr>
    </w:p>
    <w:p>
      <w:pPr>
        <w:keepNext w:val="0"/>
      </w:pPr>
      <w:r>
        <w:rPr>
          <w:b w:val="0"/>
          <w:i w:val="0"/>
        </w:rPr>
        <w:t>SCIDOCS covers computer science; SciFact contains biomedical claims; NFCorpus covers nutrition and medicine; TREC-COVID is a temporal biomedical search collection. Citation/year/venue metadata come from the frozen repository snapshot collected from Semantic Scholar and OpenAlex during 2025–2026. No live API values are used at evaluation time. The recency reference year remains 2024 to reproduce the frozen experimental protocol.</w:t>
      </w:r>
    </w:p>
    <w:p>
      <w:pPr>
        <w:pStyle w:val="Heading2"/>
      </w:pPr>
      <w:r>
        <w:t>5.2. Main and independent protocols</w:t>
      </w:r>
    </w:p>
    <w:p>
      <w:pPr>
        <w:keepNext w:val="0"/>
      </w:pPr>
      <w:r>
        <w:rPr>
          <w:b w:val="0"/>
          <w:i w:val="0"/>
        </w:rPr>
        <w:t>The main protocol is five-fold cross-fitting with seed 42. Held-out qrels never enter content-base selection, TF-IDF fitting, neighbour retrieval, effect estimation, or action selection. We repeat the complete procedure for seeds 0–9. For independent validation, official SciFact and NFCorpus train queries determine the base, representation, neighbours, and actions; test qrels are opened only after decisions are frozen. We call this train-to-test transfer, not external-dataset validation.</w:t>
      </w:r>
    </w:p>
    <w:p>
      <w:pPr>
        <w:pStyle w:val="Heading2"/>
      </w:pPr>
      <w:r>
        <w:t>5.3. Baselines and ablations</w:t>
      </w:r>
    </w:p>
    <w:p>
      <w:pPr>
        <w:keepNext w:val="0"/>
      </w:pPr>
      <w:r>
        <w:rPr>
          <w:b w:val="0"/>
          <w:i w:val="0"/>
        </w:rPr>
        <w:t>Content candidates are SBERT-Dense, BGE-Dense, and their 0.5 BM25 hybrids. Routing baselines are: (i) the global training-fold best action; (ii) a ContextualRouter-style kNN local mean without an uncertainty penalty; (iii) an uncorrected one-sided t penalty; (iv) a bounded-effect empirical Bernstein penalty; and (v) BiblioGuard. The legacy PAV feature router is retained as a historical baseline. Mechanism ablations compare word-only, character-only, half-k, and double-k settings. Hyperparameters are not selected on test outcomes.</w:t>
      </w:r>
    </w:p>
    <w:p>
      <w:pPr>
        <w:pStyle w:val="Heading2"/>
      </w:pPr>
      <w:r>
        <w:t>5.4. Statistical analysis</w:t>
      </w:r>
    </w:p>
    <w:p>
      <w:pPr>
        <w:keepNext w:val="0"/>
      </w:pPr>
      <w:r>
        <w:rPr>
          <w:b w:val="0"/>
          <w:i w:val="0"/>
        </w:rPr>
        <w:t>The primary comparison uses paired, two-sided Wilcoxon signed-rank tests, with Holm correction across four datasets. Mean paired gains receive 10,000-resample query-level bootstrap 95% intervals (seed 2026). We report improved, unchanged, and harmed queries both overall and among active interventions. A penalty multiplier from 0 to 1.5 produces the risk–coverage analysis. Exact per-query arrays are released.</w:t>
      </w:r>
    </w:p>
    <w:p>
      <w:pPr>
        <w:pStyle w:val="Heading1"/>
      </w:pPr>
      <w:r>
        <w:t>6. Results</w:t>
      </w:r>
    </w:p>
    <w:p>
      <w:pPr>
        <w:pStyle w:val="Heading2"/>
      </w:pPr>
      <w:r>
        <w:t>6.1. Primary comparison with strong fallbacks</w:t>
      </w:r>
    </w:p>
    <w:p>
      <w:pPr>
        <w:keepNext/>
      </w:pPr>
      <w:r>
        <w:rPr>
          <w:b w:val="0"/>
          <w:i/>
        </w:rPr>
        <w:t>Table 2. Cross-fitted BiblioGuard against a training-fold-selected content fallback. CI is the paired-query bootstrap interval; p is two-sided and Holm-adjusted.</w:t>
      </w:r>
    </w:p>
    <w:tbl>
      <w:tblPr>
        <w:tblStyle w:val="TableGrid"/>
        <w:tblW w:type="auto" w:w="0"/>
        <w:tblLayout w:type="autofit"/>
        <w:tblLook w:firstColumn="1" w:firstRow="1" w:lastColumn="0" w:lastRow="0" w:noHBand="0" w:noVBand="1" w:val="04A0"/>
      </w:tblPr>
      <w:tblGrid>
        <w:gridCol w:w="1249"/>
        <w:gridCol w:w="1249"/>
        <w:gridCol w:w="1249"/>
        <w:gridCol w:w="1249"/>
        <w:gridCol w:w="1249"/>
        <w:gridCol w:w="1249"/>
        <w:gridCol w:w="1249"/>
        <w:gridCol w:w="1249"/>
      </w:tblGrid>
      <w:tr>
        <w:trPr>
          <w:tblHeader/>
        </w:trPr>
        <w:tc>
          <w:tcPr>
            <w:tcW w:type="dxa" w:w="1249"/>
            <w:vAlign w:val="center"/>
          </w:tcPr>
          <w:p>
            <w:r>
              <w:rPr>
                <w:b/>
                <w:sz w:val="13"/>
              </w:rPr>
              <w:t>Dataset</w:t>
            </w:r>
          </w:p>
        </w:tc>
        <w:tc>
          <w:tcPr>
            <w:tcW w:type="dxa" w:w="1249"/>
            <w:vAlign w:val="center"/>
          </w:tcPr>
          <w:p>
            <w:r>
              <w:rPr>
                <w:b/>
                <w:sz w:val="13"/>
              </w:rPr>
              <w:t>Fallback</w:t>
            </w:r>
          </w:p>
        </w:tc>
        <w:tc>
          <w:tcPr>
            <w:tcW w:type="dxa" w:w="1249"/>
            <w:vAlign w:val="center"/>
          </w:tcPr>
          <w:p>
            <w:r>
              <w:rPr>
                <w:b/>
                <w:sz w:val="13"/>
              </w:rPr>
              <w:t>BiblioGuard</w:t>
            </w:r>
          </w:p>
        </w:tc>
        <w:tc>
          <w:tcPr>
            <w:tcW w:type="dxa" w:w="1249"/>
            <w:vAlign w:val="center"/>
          </w:tcPr>
          <w:p>
            <w:r>
              <w:rPr>
                <w:b/>
                <w:sz w:val="13"/>
              </w:rPr>
              <w:t>Gain</w:t>
            </w:r>
          </w:p>
        </w:tc>
        <w:tc>
          <w:tcPr>
            <w:tcW w:type="dxa" w:w="1249"/>
            <w:vAlign w:val="center"/>
          </w:tcPr>
          <w:p>
            <w:r>
              <w:rPr>
                <w:b/>
                <w:sz w:val="13"/>
              </w:rPr>
              <w:t>95% CI</w:t>
            </w:r>
          </w:p>
        </w:tc>
        <w:tc>
          <w:tcPr>
            <w:tcW w:type="dxa" w:w="1249"/>
            <w:vAlign w:val="center"/>
          </w:tcPr>
          <w:p>
            <w:r>
              <w:rPr>
                <w:b/>
                <w:sz w:val="13"/>
              </w:rPr>
              <w:t>Active</w:t>
            </w:r>
          </w:p>
        </w:tc>
        <w:tc>
          <w:tcPr>
            <w:tcW w:type="dxa" w:w="1249"/>
            <w:vAlign w:val="center"/>
          </w:tcPr>
          <w:p>
            <w:r>
              <w:rPr>
                <w:b/>
                <w:sz w:val="13"/>
              </w:rPr>
              <w:t>Holm p</w:t>
            </w:r>
          </w:p>
        </w:tc>
        <w:tc>
          <w:tcPr>
            <w:tcW w:type="dxa" w:w="1249"/>
            <w:vAlign w:val="center"/>
          </w:tcPr>
          <w:p>
            <w:r>
              <w:rPr>
                <w:b/>
                <w:sz w:val="13"/>
              </w:rPr>
              <w:t>Fold bases (queries)</w:t>
            </w:r>
          </w:p>
        </w:tc>
      </w:tr>
      <w:tr>
        <w:trPr>
          <w:cantSplit/>
        </w:trPr>
        <w:tc>
          <w:tcPr>
            <w:tcW w:type="dxa" w:w="1249"/>
            <w:vAlign w:val="center"/>
          </w:tcPr>
          <w:p>
            <w:r>
              <w:rPr>
                <w:sz w:val="13"/>
              </w:rPr>
              <w:t>SCIDOCS</w:t>
            </w:r>
          </w:p>
        </w:tc>
        <w:tc>
          <w:tcPr>
            <w:tcW w:type="dxa" w:w="1249"/>
            <w:vAlign w:val="center"/>
          </w:tcPr>
          <w:p>
            <w:r>
              <w:rPr>
                <w:sz w:val="13"/>
              </w:rPr>
              <w:t>0.2164</w:t>
            </w:r>
          </w:p>
        </w:tc>
        <w:tc>
          <w:tcPr>
            <w:tcW w:type="dxa" w:w="1249"/>
            <w:vAlign w:val="center"/>
          </w:tcPr>
          <w:p>
            <w:r>
              <w:rPr>
                <w:sz w:val="13"/>
              </w:rPr>
              <w:t>0.2343</w:t>
            </w:r>
          </w:p>
        </w:tc>
        <w:tc>
          <w:tcPr>
            <w:tcW w:type="dxa" w:w="1249"/>
            <w:vAlign w:val="center"/>
          </w:tcPr>
          <w:p>
            <w:r>
              <w:rPr>
                <w:sz w:val="13"/>
              </w:rPr>
              <w:t>+0.0179</w:t>
            </w:r>
          </w:p>
        </w:tc>
        <w:tc>
          <w:tcPr>
            <w:tcW w:type="dxa" w:w="1249"/>
            <w:vAlign w:val="center"/>
          </w:tcPr>
          <w:p>
            <w:r>
              <w:rPr>
                <w:sz w:val="13"/>
              </w:rPr>
              <w:t>[0.0139, 0.0218]</w:t>
            </w:r>
          </w:p>
        </w:tc>
        <w:tc>
          <w:tcPr>
            <w:tcW w:type="dxa" w:w="1249"/>
            <w:vAlign w:val="center"/>
          </w:tcPr>
          <w:p>
            <w:r>
              <w:rPr>
                <w:sz w:val="13"/>
              </w:rPr>
              <w:t>49.3%</w:t>
            </w:r>
          </w:p>
        </w:tc>
        <w:tc>
          <w:tcPr>
            <w:tcW w:type="dxa" w:w="1249"/>
            <w:vAlign w:val="center"/>
          </w:tcPr>
          <w:p>
            <w:r>
              <w:rPr>
                <w:sz w:val="13"/>
              </w:rPr>
              <w:t>2.75e-19</w:t>
            </w:r>
          </w:p>
        </w:tc>
        <w:tc>
          <w:tcPr>
            <w:tcW w:type="dxa" w:w="1249"/>
            <w:vAlign w:val="center"/>
          </w:tcPr>
          <w:p>
            <w:r>
              <w:rPr>
                <w:sz w:val="13"/>
              </w:rPr>
              <w:t>SBERT-Dense:1000</w:t>
            </w:r>
          </w:p>
        </w:tc>
      </w:tr>
      <w:tr>
        <w:trPr>
          <w:cantSplit/>
        </w:trPr>
        <w:tc>
          <w:tcPr>
            <w:tcW w:type="dxa" w:w="1249"/>
            <w:vAlign w:val="center"/>
          </w:tcPr>
          <w:p>
            <w:r>
              <w:rPr>
                <w:sz w:val="13"/>
              </w:rPr>
              <w:t>SciFact</w:t>
            </w:r>
          </w:p>
        </w:tc>
        <w:tc>
          <w:tcPr>
            <w:tcW w:type="dxa" w:w="1249"/>
            <w:vAlign w:val="center"/>
          </w:tcPr>
          <w:p>
            <w:r>
              <w:rPr>
                <w:sz w:val="13"/>
              </w:rPr>
              <w:t>0.6998</w:t>
            </w:r>
          </w:p>
        </w:tc>
        <w:tc>
          <w:tcPr>
            <w:tcW w:type="dxa" w:w="1249"/>
            <w:vAlign w:val="center"/>
          </w:tcPr>
          <w:p>
            <w:r>
              <w:rPr>
                <w:sz w:val="13"/>
              </w:rPr>
              <w:t>0.6998</w:t>
            </w:r>
          </w:p>
        </w:tc>
        <w:tc>
          <w:tcPr>
            <w:tcW w:type="dxa" w:w="1249"/>
            <w:vAlign w:val="center"/>
          </w:tcPr>
          <w:p>
            <w:r>
              <w:rPr>
                <w:sz w:val="13"/>
              </w:rPr>
              <w:t>+0.0000</w:t>
            </w:r>
          </w:p>
        </w:tc>
        <w:tc>
          <w:tcPr>
            <w:tcW w:type="dxa" w:w="1249"/>
            <w:vAlign w:val="center"/>
          </w:tcPr>
          <w:p>
            <w:r>
              <w:rPr>
                <w:sz w:val="13"/>
              </w:rPr>
              <w:t>[0.0000, 0.0000]</w:t>
            </w:r>
          </w:p>
        </w:tc>
        <w:tc>
          <w:tcPr>
            <w:tcW w:type="dxa" w:w="1249"/>
            <w:vAlign w:val="center"/>
          </w:tcPr>
          <w:p>
            <w:r>
              <w:rPr>
                <w:sz w:val="13"/>
              </w:rPr>
              <w:t>0.0%</w:t>
            </w:r>
          </w:p>
        </w:tc>
        <w:tc>
          <w:tcPr>
            <w:tcW w:type="dxa" w:w="1249"/>
            <w:vAlign w:val="center"/>
          </w:tcPr>
          <w:p>
            <w:r>
              <w:rPr>
                <w:sz w:val="13"/>
              </w:rPr>
              <w:t>1.000</w:t>
            </w:r>
          </w:p>
        </w:tc>
        <w:tc>
          <w:tcPr>
            <w:tcW w:type="dxa" w:w="1249"/>
            <w:vAlign w:val="center"/>
          </w:tcPr>
          <w:p>
            <w:r>
              <w:rPr>
                <w:sz w:val="13"/>
              </w:rPr>
              <w:t>BGE-Dense:240, Neural-Hybrid:60</w:t>
            </w:r>
          </w:p>
        </w:tc>
      </w:tr>
      <w:tr>
        <w:trPr>
          <w:cantSplit/>
        </w:trPr>
        <w:tc>
          <w:tcPr>
            <w:tcW w:type="dxa" w:w="1249"/>
            <w:vAlign w:val="center"/>
          </w:tcPr>
          <w:p>
            <w:r>
              <w:rPr>
                <w:sz w:val="13"/>
              </w:rPr>
              <w:t>NFCorpus</w:t>
            </w:r>
          </w:p>
        </w:tc>
        <w:tc>
          <w:tcPr>
            <w:tcW w:type="dxa" w:w="1249"/>
            <w:vAlign w:val="center"/>
          </w:tcPr>
          <w:p>
            <w:r>
              <w:rPr>
                <w:sz w:val="13"/>
              </w:rPr>
              <w:t>0.3487</w:t>
            </w:r>
          </w:p>
        </w:tc>
        <w:tc>
          <w:tcPr>
            <w:tcW w:type="dxa" w:w="1249"/>
            <w:vAlign w:val="center"/>
          </w:tcPr>
          <w:p>
            <w:r>
              <w:rPr>
                <w:sz w:val="13"/>
              </w:rPr>
              <w:t>0.3487</w:t>
            </w:r>
          </w:p>
        </w:tc>
        <w:tc>
          <w:tcPr>
            <w:tcW w:type="dxa" w:w="1249"/>
            <w:vAlign w:val="center"/>
          </w:tcPr>
          <w:p>
            <w:r>
              <w:rPr>
                <w:sz w:val="13"/>
              </w:rPr>
              <w:t>+0.0000</w:t>
            </w:r>
          </w:p>
        </w:tc>
        <w:tc>
          <w:tcPr>
            <w:tcW w:type="dxa" w:w="1249"/>
            <w:vAlign w:val="center"/>
          </w:tcPr>
          <w:p>
            <w:r>
              <w:rPr>
                <w:sz w:val="13"/>
              </w:rPr>
              <w:t>[0.0000, 0.0000]</w:t>
            </w:r>
          </w:p>
        </w:tc>
        <w:tc>
          <w:tcPr>
            <w:tcW w:type="dxa" w:w="1249"/>
            <w:vAlign w:val="center"/>
          </w:tcPr>
          <w:p>
            <w:r>
              <w:rPr>
                <w:sz w:val="13"/>
              </w:rPr>
              <w:t>0.0%</w:t>
            </w:r>
          </w:p>
        </w:tc>
        <w:tc>
          <w:tcPr>
            <w:tcW w:type="dxa" w:w="1249"/>
            <w:vAlign w:val="center"/>
          </w:tcPr>
          <w:p>
            <w:r>
              <w:rPr>
                <w:sz w:val="13"/>
              </w:rPr>
              <w:t>1.000</w:t>
            </w:r>
          </w:p>
        </w:tc>
        <w:tc>
          <w:tcPr>
            <w:tcW w:type="dxa" w:w="1249"/>
            <w:vAlign w:val="center"/>
          </w:tcPr>
          <w:p>
            <w:r>
              <w:rPr>
                <w:sz w:val="13"/>
              </w:rPr>
              <w:t>BGE-Hybrid:323</w:t>
            </w:r>
          </w:p>
        </w:tc>
      </w:tr>
      <w:tr>
        <w:trPr>
          <w:cantSplit/>
        </w:trPr>
        <w:tc>
          <w:tcPr>
            <w:tcW w:type="dxa" w:w="1249"/>
            <w:vAlign w:val="center"/>
          </w:tcPr>
          <w:p>
            <w:r>
              <w:rPr>
                <w:sz w:val="13"/>
              </w:rPr>
              <w:t>TREC-COVID</w:t>
            </w:r>
          </w:p>
        </w:tc>
        <w:tc>
          <w:tcPr>
            <w:tcW w:type="dxa" w:w="1249"/>
            <w:vAlign w:val="center"/>
          </w:tcPr>
          <w:p>
            <w:r>
              <w:rPr>
                <w:sz w:val="13"/>
              </w:rPr>
              <w:t>0.7578</w:t>
            </w:r>
          </w:p>
        </w:tc>
        <w:tc>
          <w:tcPr>
            <w:tcW w:type="dxa" w:w="1249"/>
            <w:vAlign w:val="center"/>
          </w:tcPr>
          <w:p>
            <w:r>
              <w:rPr>
                <w:sz w:val="13"/>
              </w:rPr>
              <w:t>0.7578</w:t>
            </w:r>
          </w:p>
        </w:tc>
        <w:tc>
          <w:tcPr>
            <w:tcW w:type="dxa" w:w="1249"/>
            <w:vAlign w:val="center"/>
          </w:tcPr>
          <w:p>
            <w:r>
              <w:rPr>
                <w:sz w:val="13"/>
              </w:rPr>
              <w:t>+0.0000</w:t>
            </w:r>
          </w:p>
        </w:tc>
        <w:tc>
          <w:tcPr>
            <w:tcW w:type="dxa" w:w="1249"/>
            <w:vAlign w:val="center"/>
          </w:tcPr>
          <w:p>
            <w:r>
              <w:rPr>
                <w:sz w:val="13"/>
              </w:rPr>
              <w:t>[0.0000, 0.0000]</w:t>
            </w:r>
          </w:p>
        </w:tc>
        <w:tc>
          <w:tcPr>
            <w:tcW w:type="dxa" w:w="1249"/>
            <w:vAlign w:val="center"/>
          </w:tcPr>
          <w:p>
            <w:r>
              <w:rPr>
                <w:sz w:val="13"/>
              </w:rPr>
              <w:t>0.0%</w:t>
            </w:r>
          </w:p>
        </w:tc>
        <w:tc>
          <w:tcPr>
            <w:tcW w:type="dxa" w:w="1249"/>
            <w:vAlign w:val="center"/>
          </w:tcPr>
          <w:p>
            <w:r>
              <w:rPr>
                <w:sz w:val="13"/>
              </w:rPr>
              <w:t>1.000</w:t>
            </w:r>
          </w:p>
        </w:tc>
        <w:tc>
          <w:tcPr>
            <w:tcW w:type="dxa" w:w="1249"/>
            <w:vAlign w:val="center"/>
          </w:tcPr>
          <w:p>
            <w:r>
              <w:rPr>
                <w:sz w:val="13"/>
              </w:rPr>
              <w:t>BGE-Dense:50</w:t>
            </w:r>
          </w:p>
        </w:tc>
      </w:tr>
    </w:tbl>
    <w:p>
      <w:pPr>
        <w:spacing w:after="20"/>
      </w:pPr>
    </w:p>
    <w:p>
      <w:pPr>
        <w:keepNext w:val="0"/>
      </w:pPr>
      <w:r>
        <w:rPr>
          <w:b w:val="0"/>
          <w:i w:val="0"/>
        </w:rPr>
        <w:t>On SCIDOCS, every outer fold selects SBERT-Dense, and BiblioGuard improves mean NDCG@10 by 0.0179. This result exceeds the strongest content-only score rather than only a weaker hybrid. The policy abstains on the other domains under the corrected gate. The result therefore supports selective utility on one domain, not universal metadata benefit.</w:t>
      </w:r>
    </w:p>
    <w:p>
      <w:pPr>
        <w:keepNext/>
        <w:jc w:val="center"/>
      </w:pPr>
      <w:r>
        <w:drawing>
          <wp:inline xmlns:a="http://schemas.openxmlformats.org/drawingml/2006/main" xmlns:pic="http://schemas.openxmlformats.org/drawingml/2006/picture">
            <wp:extent cx="5989320" cy="2753607"/>
            <wp:docPr id="1" name="Picture 1"/>
            <wp:cNvGraphicFramePr>
              <a:graphicFrameLocks noChangeAspect="1"/>
            </wp:cNvGraphicFramePr>
            <a:graphic>
              <a:graphicData uri="http://schemas.openxmlformats.org/drawingml/2006/picture">
                <pic:pic>
                  <pic:nvPicPr>
                    <pic:cNvPr id="0" name="Fig2_biblioguard_main.png"/>
                    <pic:cNvPicPr/>
                  </pic:nvPicPr>
                  <pic:blipFill>
                    <a:blip r:embed="rId10"/>
                    <a:stretch>
                      <a:fillRect/>
                    </a:stretch>
                  </pic:blipFill>
                  <pic:spPr>
                    <a:xfrm>
                      <a:off x="0" y="0"/>
                      <a:ext cx="5989320" cy="2753607"/>
                    </a:xfrm>
                    <a:prstGeom prst="rect"/>
                  </pic:spPr>
                </pic:pic>
              </a:graphicData>
            </a:graphic>
          </wp:inline>
        </w:drawing>
      </w:r>
    </w:p>
    <w:p>
      <w:pPr>
        <w:keepNext w:val="0"/>
        <w:jc w:val="center"/>
      </w:pPr>
      <w:r>
        <w:rPr>
          <w:b w:val="0"/>
          <w:i/>
          <w:sz w:val="18"/>
        </w:rPr>
        <w:t>Fig. 1. Same-content interventions compared with strong fallbacks and routing baselines.</w:t>
      </w:r>
    </w:p>
    <w:p>
      <w:pPr>
        <w:pStyle w:val="Heading2"/>
      </w:pPr>
      <w:r>
        <w:t>6.2. What the gate changes</w:t>
      </w:r>
    </w:p>
    <w:tbl>
      <w:tblPr>
        <w:tblStyle w:val="TableGrid"/>
        <w:tblW w:type="auto" w:w="0"/>
        <w:tblLayout w:type="autofit"/>
        <w:tblLook w:firstColumn="1" w:firstRow="1" w:lastColumn="0" w:lastRow="0" w:noHBand="0" w:noVBand="1" w:val="04A0"/>
      </w:tblPr>
      <w:tblGrid>
        <w:gridCol w:w="1249"/>
        <w:gridCol w:w="1249"/>
        <w:gridCol w:w="1249"/>
        <w:gridCol w:w="1249"/>
        <w:gridCol w:w="1249"/>
        <w:gridCol w:w="1249"/>
        <w:gridCol w:w="1249"/>
        <w:gridCol w:w="1249"/>
      </w:tblGrid>
      <w:tr>
        <w:trPr>
          <w:tblHeader/>
        </w:trPr>
        <w:tc>
          <w:tcPr>
            <w:tcW w:type="dxa" w:w="1249"/>
            <w:vAlign w:val="center"/>
          </w:tcPr>
          <w:p>
            <w:r>
              <w:rPr>
                <w:b/>
                <w:sz w:val="13"/>
              </w:rPr>
              <w:t>Dataset</w:t>
            </w:r>
          </w:p>
        </w:tc>
        <w:tc>
          <w:tcPr>
            <w:tcW w:type="dxa" w:w="1249"/>
            <w:vAlign w:val="center"/>
          </w:tcPr>
          <w:p>
            <w:r>
              <w:rPr>
                <w:b/>
                <w:sz w:val="13"/>
              </w:rPr>
              <w:t>Policy</w:t>
            </w:r>
          </w:p>
        </w:tc>
        <w:tc>
          <w:tcPr>
            <w:tcW w:type="dxa" w:w="1249"/>
            <w:vAlign w:val="center"/>
          </w:tcPr>
          <w:p>
            <w:r>
              <w:rPr>
                <w:b/>
                <w:sz w:val="13"/>
              </w:rPr>
              <w:t>NDCG@10</w:t>
            </w:r>
          </w:p>
        </w:tc>
        <w:tc>
          <w:tcPr>
            <w:tcW w:type="dxa" w:w="1249"/>
            <w:vAlign w:val="center"/>
          </w:tcPr>
          <w:p>
            <w:r>
              <w:rPr>
                <w:b/>
                <w:sz w:val="13"/>
              </w:rPr>
              <w:t>Gain</w:t>
            </w:r>
          </w:p>
        </w:tc>
        <w:tc>
          <w:tcPr>
            <w:tcW w:type="dxa" w:w="1249"/>
            <w:vAlign w:val="center"/>
          </w:tcPr>
          <w:p>
            <w:r>
              <w:rPr>
                <w:b/>
                <w:sz w:val="13"/>
              </w:rPr>
              <w:t>Active</w:t>
            </w:r>
          </w:p>
        </w:tc>
        <w:tc>
          <w:tcPr>
            <w:tcW w:type="dxa" w:w="1249"/>
            <w:vAlign w:val="center"/>
          </w:tcPr>
          <w:p>
            <w:r>
              <w:rPr>
                <w:b/>
                <w:sz w:val="13"/>
              </w:rPr>
              <w:t>Improved</w:t>
            </w:r>
          </w:p>
        </w:tc>
        <w:tc>
          <w:tcPr>
            <w:tcW w:type="dxa" w:w="1249"/>
            <w:vAlign w:val="center"/>
          </w:tcPr>
          <w:p>
            <w:r>
              <w:rPr>
                <w:b/>
                <w:sz w:val="13"/>
              </w:rPr>
              <w:t>Unchanged</w:t>
            </w:r>
          </w:p>
        </w:tc>
        <w:tc>
          <w:tcPr>
            <w:tcW w:type="dxa" w:w="1249"/>
            <w:vAlign w:val="center"/>
          </w:tcPr>
          <w:p>
            <w:r>
              <w:rPr>
                <w:b/>
                <w:sz w:val="13"/>
              </w:rPr>
              <w:t>Harmed</w:t>
            </w:r>
          </w:p>
        </w:tc>
      </w:tr>
      <w:tr>
        <w:trPr>
          <w:cantSplit/>
        </w:trPr>
        <w:tc>
          <w:tcPr>
            <w:tcW w:type="dxa" w:w="1249"/>
            <w:vAlign w:val="center"/>
          </w:tcPr>
          <w:p>
            <w:r>
              <w:rPr>
                <w:sz w:val="13"/>
              </w:rPr>
              <w:t>SCIDOCS</w:t>
            </w:r>
          </w:p>
        </w:tc>
        <w:tc>
          <w:tcPr>
            <w:tcW w:type="dxa" w:w="1249"/>
            <w:vAlign w:val="center"/>
          </w:tcPr>
          <w:p>
            <w:r>
              <w:rPr>
                <w:sz w:val="13"/>
              </w:rPr>
              <w:t>Global-best</w:t>
            </w:r>
          </w:p>
        </w:tc>
        <w:tc>
          <w:tcPr>
            <w:tcW w:type="dxa" w:w="1249"/>
            <w:vAlign w:val="center"/>
          </w:tcPr>
          <w:p>
            <w:r>
              <w:rPr>
                <w:sz w:val="13"/>
              </w:rPr>
              <w:t>0.2633</w:t>
            </w:r>
          </w:p>
        </w:tc>
        <w:tc>
          <w:tcPr>
            <w:tcW w:type="dxa" w:w="1249"/>
            <w:vAlign w:val="center"/>
          </w:tcPr>
          <w:p>
            <w:r>
              <w:rPr>
                <w:sz w:val="13"/>
              </w:rPr>
              <w:t>+0.0469</w:t>
            </w:r>
          </w:p>
        </w:tc>
        <w:tc>
          <w:tcPr>
            <w:tcW w:type="dxa" w:w="1249"/>
            <w:vAlign w:val="center"/>
          </w:tcPr>
          <w:p>
            <w:r>
              <w:rPr>
                <w:sz w:val="13"/>
              </w:rPr>
              <w:t>100.0%</w:t>
            </w:r>
          </w:p>
        </w:tc>
        <w:tc>
          <w:tcPr>
            <w:tcW w:type="dxa" w:w="1249"/>
            <w:vAlign w:val="center"/>
          </w:tcPr>
          <w:p>
            <w:r>
              <w:rPr>
                <w:sz w:val="13"/>
              </w:rPr>
              <w:t>474</w:t>
            </w:r>
          </w:p>
        </w:tc>
        <w:tc>
          <w:tcPr>
            <w:tcW w:type="dxa" w:w="1249"/>
            <w:vAlign w:val="center"/>
          </w:tcPr>
          <w:p>
            <w:r>
              <w:rPr>
                <w:sz w:val="13"/>
              </w:rPr>
              <w:t>380</w:t>
            </w:r>
          </w:p>
        </w:tc>
        <w:tc>
          <w:tcPr>
            <w:tcW w:type="dxa" w:w="1249"/>
            <w:vAlign w:val="center"/>
          </w:tcPr>
          <w:p>
            <w:r>
              <w:rPr>
                <w:sz w:val="13"/>
              </w:rPr>
              <w:t>146</w:t>
            </w:r>
          </w:p>
        </w:tc>
      </w:tr>
      <w:tr>
        <w:trPr>
          <w:cantSplit/>
        </w:trPr>
        <w:tc>
          <w:tcPr>
            <w:tcW w:type="dxa" w:w="1249"/>
            <w:vAlign w:val="center"/>
          </w:tcPr>
          <w:p>
            <w:r>
              <w:rPr>
                <w:sz w:val="13"/>
              </w:rPr>
              <w:t>SCIDOCS</w:t>
            </w:r>
          </w:p>
        </w:tc>
        <w:tc>
          <w:tcPr>
            <w:tcW w:type="dxa" w:w="1249"/>
            <w:vAlign w:val="center"/>
          </w:tcPr>
          <w:p>
            <w:r>
              <w:rPr>
                <w:sz w:val="13"/>
              </w:rPr>
              <w:t>Local kNN mean</w:t>
            </w:r>
          </w:p>
        </w:tc>
        <w:tc>
          <w:tcPr>
            <w:tcW w:type="dxa" w:w="1249"/>
            <w:vAlign w:val="center"/>
          </w:tcPr>
          <w:p>
            <w:r>
              <w:rPr>
                <w:sz w:val="13"/>
              </w:rPr>
              <w:t>0.2607</w:t>
            </w:r>
          </w:p>
        </w:tc>
        <w:tc>
          <w:tcPr>
            <w:tcW w:type="dxa" w:w="1249"/>
            <w:vAlign w:val="center"/>
          </w:tcPr>
          <w:p>
            <w:r>
              <w:rPr>
                <w:sz w:val="13"/>
              </w:rPr>
              <w:t>+0.0443</w:t>
            </w:r>
          </w:p>
        </w:tc>
        <w:tc>
          <w:tcPr>
            <w:tcW w:type="dxa" w:w="1249"/>
            <w:vAlign w:val="center"/>
          </w:tcPr>
          <w:p>
            <w:r>
              <w:rPr>
                <w:sz w:val="13"/>
              </w:rPr>
              <w:t>100.0%</w:t>
            </w:r>
          </w:p>
        </w:tc>
        <w:tc>
          <w:tcPr>
            <w:tcW w:type="dxa" w:w="1249"/>
            <w:vAlign w:val="center"/>
          </w:tcPr>
          <w:p>
            <w:r>
              <w:rPr>
                <w:sz w:val="13"/>
              </w:rPr>
              <w:t>461</w:t>
            </w:r>
          </w:p>
        </w:tc>
        <w:tc>
          <w:tcPr>
            <w:tcW w:type="dxa" w:w="1249"/>
            <w:vAlign w:val="center"/>
          </w:tcPr>
          <w:p>
            <w:r>
              <w:rPr>
                <w:sz w:val="13"/>
              </w:rPr>
              <w:t>401</w:t>
            </w:r>
          </w:p>
        </w:tc>
        <w:tc>
          <w:tcPr>
            <w:tcW w:type="dxa" w:w="1249"/>
            <w:vAlign w:val="center"/>
          </w:tcPr>
          <w:p>
            <w:r>
              <w:rPr>
                <w:sz w:val="13"/>
              </w:rPr>
              <w:t>138</w:t>
            </w:r>
          </w:p>
        </w:tc>
      </w:tr>
      <w:tr>
        <w:trPr>
          <w:cantSplit/>
        </w:trPr>
        <w:tc>
          <w:tcPr>
            <w:tcW w:type="dxa" w:w="1249"/>
            <w:vAlign w:val="center"/>
          </w:tcPr>
          <w:p>
            <w:r>
              <w:rPr>
                <w:sz w:val="13"/>
              </w:rPr>
              <w:t>SCIDOCS</w:t>
            </w:r>
          </w:p>
        </w:tc>
        <w:tc>
          <w:tcPr>
            <w:tcW w:type="dxa" w:w="1249"/>
            <w:vAlign w:val="center"/>
          </w:tcPr>
          <w:p>
            <w:r>
              <w:rPr>
                <w:sz w:val="13"/>
              </w:rPr>
              <w:t>Uncorrected PDS</w:t>
            </w:r>
          </w:p>
        </w:tc>
        <w:tc>
          <w:tcPr>
            <w:tcW w:type="dxa" w:w="1249"/>
            <w:vAlign w:val="center"/>
          </w:tcPr>
          <w:p>
            <w:r>
              <w:rPr>
                <w:sz w:val="13"/>
              </w:rPr>
              <w:t>0.2530</w:t>
            </w:r>
          </w:p>
        </w:tc>
        <w:tc>
          <w:tcPr>
            <w:tcW w:type="dxa" w:w="1249"/>
            <w:vAlign w:val="center"/>
          </w:tcPr>
          <w:p>
            <w:r>
              <w:rPr>
                <w:sz w:val="13"/>
              </w:rPr>
              <w:t>+0.0366</w:t>
            </w:r>
          </w:p>
        </w:tc>
        <w:tc>
          <w:tcPr>
            <w:tcW w:type="dxa" w:w="1249"/>
            <w:vAlign w:val="center"/>
          </w:tcPr>
          <w:p>
            <w:r>
              <w:rPr>
                <w:sz w:val="13"/>
              </w:rPr>
              <w:t>88.5%</w:t>
            </w:r>
          </w:p>
        </w:tc>
        <w:tc>
          <w:tcPr>
            <w:tcW w:type="dxa" w:w="1249"/>
            <w:vAlign w:val="center"/>
          </w:tcPr>
          <w:p>
            <w:r>
              <w:rPr>
                <w:sz w:val="13"/>
              </w:rPr>
              <w:t>404</w:t>
            </w:r>
          </w:p>
        </w:tc>
        <w:tc>
          <w:tcPr>
            <w:tcW w:type="dxa" w:w="1249"/>
            <w:vAlign w:val="center"/>
          </w:tcPr>
          <w:p>
            <w:r>
              <w:rPr>
                <w:sz w:val="13"/>
              </w:rPr>
              <w:t>362</w:t>
            </w:r>
          </w:p>
        </w:tc>
        <w:tc>
          <w:tcPr>
            <w:tcW w:type="dxa" w:w="1249"/>
            <w:vAlign w:val="center"/>
          </w:tcPr>
          <w:p>
            <w:r>
              <w:rPr>
                <w:sz w:val="13"/>
              </w:rPr>
              <w:t>119</w:t>
            </w:r>
          </w:p>
        </w:tc>
      </w:tr>
      <w:tr>
        <w:trPr>
          <w:cantSplit/>
        </w:trPr>
        <w:tc>
          <w:tcPr>
            <w:tcW w:type="dxa" w:w="1249"/>
            <w:vAlign w:val="center"/>
          </w:tcPr>
          <w:p>
            <w:r>
              <w:rPr>
                <w:sz w:val="13"/>
              </w:rPr>
              <w:t>SCIDOCS</w:t>
            </w:r>
          </w:p>
        </w:tc>
        <w:tc>
          <w:tcPr>
            <w:tcW w:type="dxa" w:w="1249"/>
            <w:vAlign w:val="center"/>
          </w:tcPr>
          <w:p>
            <w:r>
              <w:rPr>
                <w:sz w:val="13"/>
              </w:rPr>
              <w:t>Empirical Bernstein</w:t>
            </w:r>
          </w:p>
        </w:tc>
        <w:tc>
          <w:tcPr>
            <w:tcW w:type="dxa" w:w="1249"/>
            <w:vAlign w:val="center"/>
          </w:tcPr>
          <w:p>
            <w:r>
              <w:rPr>
                <w:sz w:val="13"/>
              </w:rPr>
              <w:t>0.2164</w:t>
            </w:r>
          </w:p>
        </w:tc>
        <w:tc>
          <w:tcPr>
            <w:tcW w:type="dxa" w:w="1249"/>
            <w:vAlign w:val="center"/>
          </w:tcPr>
          <w:p>
            <w:r>
              <w:rPr>
                <w:sz w:val="13"/>
              </w:rPr>
              <w:t>+0.0000</w:t>
            </w:r>
          </w:p>
        </w:tc>
        <w:tc>
          <w:tcPr>
            <w:tcW w:type="dxa" w:w="1249"/>
            <w:vAlign w:val="center"/>
          </w:tcPr>
          <w:p>
            <w:r>
              <w:rPr>
                <w:sz w:val="13"/>
              </w:rPr>
              <w:t>0.0%</w:t>
            </w:r>
          </w:p>
        </w:tc>
        <w:tc>
          <w:tcPr>
            <w:tcW w:type="dxa" w:w="1249"/>
            <w:vAlign w:val="center"/>
          </w:tcPr>
          <w:p>
            <w:r>
              <w:rPr>
                <w:sz w:val="13"/>
              </w:rPr>
              <w:t>0</w:t>
            </w:r>
          </w:p>
        </w:tc>
        <w:tc>
          <w:tcPr>
            <w:tcW w:type="dxa" w:w="1249"/>
            <w:vAlign w:val="center"/>
          </w:tcPr>
          <w:p>
            <w:r>
              <w:rPr>
                <w:sz w:val="13"/>
              </w:rPr>
              <w:t>0</w:t>
            </w:r>
          </w:p>
        </w:tc>
        <w:tc>
          <w:tcPr>
            <w:tcW w:type="dxa" w:w="1249"/>
            <w:vAlign w:val="center"/>
          </w:tcPr>
          <w:p>
            <w:r>
              <w:rPr>
                <w:sz w:val="13"/>
              </w:rPr>
              <w:t>0</w:t>
            </w:r>
          </w:p>
        </w:tc>
      </w:tr>
      <w:tr>
        <w:trPr>
          <w:cantSplit/>
        </w:trPr>
        <w:tc>
          <w:tcPr>
            <w:tcW w:type="dxa" w:w="1249"/>
            <w:vAlign w:val="center"/>
          </w:tcPr>
          <w:p>
            <w:r>
              <w:rPr>
                <w:sz w:val="13"/>
              </w:rPr>
              <w:t>SCIDOCS</w:t>
            </w:r>
          </w:p>
        </w:tc>
        <w:tc>
          <w:tcPr>
            <w:tcW w:type="dxa" w:w="1249"/>
            <w:vAlign w:val="center"/>
          </w:tcPr>
          <w:p>
            <w:r>
              <w:rPr>
                <w:sz w:val="13"/>
              </w:rPr>
              <w:t>BiblioGuard</w:t>
            </w:r>
          </w:p>
        </w:tc>
        <w:tc>
          <w:tcPr>
            <w:tcW w:type="dxa" w:w="1249"/>
            <w:vAlign w:val="center"/>
          </w:tcPr>
          <w:p>
            <w:r>
              <w:rPr>
                <w:sz w:val="13"/>
              </w:rPr>
              <w:t>0.2343</w:t>
            </w:r>
          </w:p>
        </w:tc>
        <w:tc>
          <w:tcPr>
            <w:tcW w:type="dxa" w:w="1249"/>
            <w:vAlign w:val="center"/>
          </w:tcPr>
          <w:p>
            <w:r>
              <w:rPr>
                <w:sz w:val="13"/>
              </w:rPr>
              <w:t>+0.0179</w:t>
            </w:r>
          </w:p>
        </w:tc>
        <w:tc>
          <w:tcPr>
            <w:tcW w:type="dxa" w:w="1249"/>
            <w:vAlign w:val="center"/>
          </w:tcPr>
          <w:p>
            <w:r>
              <w:rPr>
                <w:sz w:val="13"/>
              </w:rPr>
              <w:t>49.3%</w:t>
            </w:r>
          </w:p>
        </w:tc>
        <w:tc>
          <w:tcPr>
            <w:tcW w:type="dxa" w:w="1249"/>
            <w:vAlign w:val="center"/>
          </w:tcPr>
          <w:p>
            <w:r>
              <w:rPr>
                <w:sz w:val="13"/>
              </w:rPr>
              <w:t>214</w:t>
            </w:r>
          </w:p>
        </w:tc>
        <w:tc>
          <w:tcPr>
            <w:tcW w:type="dxa" w:w="1249"/>
            <w:vAlign w:val="center"/>
          </w:tcPr>
          <w:p>
            <w:r>
              <w:rPr>
                <w:sz w:val="13"/>
              </w:rPr>
              <w:t>217</w:t>
            </w:r>
          </w:p>
        </w:tc>
        <w:tc>
          <w:tcPr>
            <w:tcW w:type="dxa" w:w="1249"/>
            <w:vAlign w:val="center"/>
          </w:tcPr>
          <w:p>
            <w:r>
              <w:rPr>
                <w:sz w:val="13"/>
              </w:rPr>
              <w:t>62</w:t>
            </w:r>
          </w:p>
        </w:tc>
      </w:tr>
      <w:tr>
        <w:trPr>
          <w:cantSplit/>
        </w:trPr>
        <w:tc>
          <w:tcPr>
            <w:tcW w:type="dxa" w:w="1249"/>
            <w:vAlign w:val="center"/>
          </w:tcPr>
          <w:p>
            <w:r>
              <w:rPr>
                <w:sz w:val="13"/>
              </w:rPr>
              <w:t>SciFact</w:t>
            </w:r>
          </w:p>
        </w:tc>
        <w:tc>
          <w:tcPr>
            <w:tcW w:type="dxa" w:w="1249"/>
            <w:vAlign w:val="center"/>
          </w:tcPr>
          <w:p>
            <w:r>
              <w:rPr>
                <w:sz w:val="13"/>
              </w:rPr>
              <w:t>Global-best</w:t>
            </w:r>
          </w:p>
        </w:tc>
        <w:tc>
          <w:tcPr>
            <w:tcW w:type="dxa" w:w="1249"/>
            <w:vAlign w:val="center"/>
          </w:tcPr>
          <w:p>
            <w:r>
              <w:rPr>
                <w:sz w:val="13"/>
              </w:rPr>
              <w:t>0.7030</w:t>
            </w:r>
          </w:p>
        </w:tc>
        <w:tc>
          <w:tcPr>
            <w:tcW w:type="dxa" w:w="1249"/>
            <w:vAlign w:val="center"/>
          </w:tcPr>
          <w:p>
            <w:r>
              <w:rPr>
                <w:sz w:val="13"/>
              </w:rPr>
              <w:t>+0.0032</w:t>
            </w:r>
          </w:p>
        </w:tc>
        <w:tc>
          <w:tcPr>
            <w:tcW w:type="dxa" w:w="1249"/>
            <w:vAlign w:val="center"/>
          </w:tcPr>
          <w:p>
            <w:r>
              <w:rPr>
                <w:sz w:val="13"/>
              </w:rPr>
              <w:t>40.0%</w:t>
            </w:r>
          </w:p>
        </w:tc>
        <w:tc>
          <w:tcPr>
            <w:tcW w:type="dxa" w:w="1249"/>
            <w:vAlign w:val="center"/>
          </w:tcPr>
          <w:p>
            <w:r>
              <w:rPr>
                <w:sz w:val="13"/>
              </w:rPr>
              <w:t>5</w:t>
            </w:r>
          </w:p>
        </w:tc>
        <w:tc>
          <w:tcPr>
            <w:tcW w:type="dxa" w:w="1249"/>
            <w:vAlign w:val="center"/>
          </w:tcPr>
          <w:p>
            <w:r>
              <w:rPr>
                <w:sz w:val="13"/>
              </w:rPr>
              <w:t>113</w:t>
            </w:r>
          </w:p>
        </w:tc>
        <w:tc>
          <w:tcPr>
            <w:tcW w:type="dxa" w:w="1249"/>
            <w:vAlign w:val="center"/>
          </w:tcPr>
          <w:p>
            <w:r>
              <w:rPr>
                <w:sz w:val="13"/>
              </w:rPr>
              <w:t>2</w:t>
            </w:r>
          </w:p>
        </w:tc>
      </w:tr>
      <w:tr>
        <w:trPr>
          <w:cantSplit/>
        </w:trPr>
        <w:tc>
          <w:tcPr>
            <w:tcW w:type="dxa" w:w="1249"/>
            <w:vAlign w:val="center"/>
          </w:tcPr>
          <w:p>
            <w:r>
              <w:rPr>
                <w:sz w:val="13"/>
              </w:rPr>
              <w:t>SciFact</w:t>
            </w:r>
          </w:p>
        </w:tc>
        <w:tc>
          <w:tcPr>
            <w:tcW w:type="dxa" w:w="1249"/>
            <w:vAlign w:val="center"/>
          </w:tcPr>
          <w:p>
            <w:r>
              <w:rPr>
                <w:sz w:val="13"/>
              </w:rPr>
              <w:t>Local kNN mean</w:t>
            </w:r>
          </w:p>
        </w:tc>
        <w:tc>
          <w:tcPr>
            <w:tcW w:type="dxa" w:w="1249"/>
            <w:vAlign w:val="center"/>
          </w:tcPr>
          <w:p>
            <w:r>
              <w:rPr>
                <w:sz w:val="13"/>
              </w:rPr>
              <w:t>0.6954</w:t>
            </w:r>
          </w:p>
        </w:tc>
        <w:tc>
          <w:tcPr>
            <w:tcW w:type="dxa" w:w="1249"/>
            <w:vAlign w:val="center"/>
          </w:tcPr>
          <w:p>
            <w:r>
              <w:rPr>
                <w:sz w:val="13"/>
              </w:rPr>
              <w:t>-0.0044</w:t>
            </w:r>
          </w:p>
        </w:tc>
        <w:tc>
          <w:tcPr>
            <w:tcW w:type="dxa" w:w="1249"/>
            <w:vAlign w:val="center"/>
          </w:tcPr>
          <w:p>
            <w:r>
              <w:rPr>
                <w:sz w:val="13"/>
              </w:rPr>
              <w:t>76.0%</w:t>
            </w:r>
          </w:p>
        </w:tc>
        <w:tc>
          <w:tcPr>
            <w:tcW w:type="dxa" w:w="1249"/>
            <w:vAlign w:val="center"/>
          </w:tcPr>
          <w:p>
            <w:r>
              <w:rPr>
                <w:sz w:val="13"/>
              </w:rPr>
              <w:t>18</w:t>
            </w:r>
          </w:p>
        </w:tc>
        <w:tc>
          <w:tcPr>
            <w:tcW w:type="dxa" w:w="1249"/>
            <w:vAlign w:val="center"/>
          </w:tcPr>
          <w:p>
            <w:r>
              <w:rPr>
                <w:sz w:val="13"/>
              </w:rPr>
              <w:t>189</w:t>
            </w:r>
          </w:p>
        </w:tc>
        <w:tc>
          <w:tcPr>
            <w:tcW w:type="dxa" w:w="1249"/>
            <w:vAlign w:val="center"/>
          </w:tcPr>
          <w:p>
            <w:r>
              <w:rPr>
                <w:sz w:val="13"/>
              </w:rPr>
              <w:t>21</w:t>
            </w:r>
          </w:p>
        </w:tc>
      </w:tr>
      <w:tr>
        <w:trPr>
          <w:cantSplit/>
        </w:trPr>
        <w:tc>
          <w:tcPr>
            <w:tcW w:type="dxa" w:w="1249"/>
            <w:vAlign w:val="center"/>
          </w:tcPr>
          <w:p>
            <w:r>
              <w:rPr>
                <w:sz w:val="13"/>
              </w:rPr>
              <w:t>SciFact</w:t>
            </w:r>
          </w:p>
        </w:tc>
        <w:tc>
          <w:tcPr>
            <w:tcW w:type="dxa" w:w="1249"/>
            <w:vAlign w:val="center"/>
          </w:tcPr>
          <w:p>
            <w:r>
              <w:rPr>
                <w:sz w:val="13"/>
              </w:rPr>
              <w:t>Uncorrected PDS</w:t>
            </w:r>
          </w:p>
        </w:tc>
        <w:tc>
          <w:tcPr>
            <w:tcW w:type="dxa" w:w="1249"/>
            <w:vAlign w:val="center"/>
          </w:tcPr>
          <w:p>
            <w:r>
              <w:rPr>
                <w:sz w:val="13"/>
              </w:rPr>
              <w:t>0.6998</w:t>
            </w:r>
          </w:p>
        </w:tc>
        <w:tc>
          <w:tcPr>
            <w:tcW w:type="dxa" w:w="1249"/>
            <w:vAlign w:val="center"/>
          </w:tcPr>
          <w:p>
            <w:r>
              <w:rPr>
                <w:sz w:val="13"/>
              </w:rPr>
              <w:t>+0.0000</w:t>
            </w:r>
          </w:p>
        </w:tc>
        <w:tc>
          <w:tcPr>
            <w:tcW w:type="dxa" w:w="1249"/>
            <w:vAlign w:val="center"/>
          </w:tcPr>
          <w:p>
            <w:r>
              <w:rPr>
                <w:sz w:val="13"/>
              </w:rPr>
              <w:t>0.3%</w:t>
            </w:r>
          </w:p>
        </w:tc>
        <w:tc>
          <w:tcPr>
            <w:tcW w:type="dxa" w:w="1249"/>
            <w:vAlign w:val="center"/>
          </w:tcPr>
          <w:p>
            <w:r>
              <w:rPr>
                <w:sz w:val="13"/>
              </w:rPr>
              <w:t>0</w:t>
            </w:r>
          </w:p>
        </w:tc>
        <w:tc>
          <w:tcPr>
            <w:tcW w:type="dxa" w:w="1249"/>
            <w:vAlign w:val="center"/>
          </w:tcPr>
          <w:p>
            <w:r>
              <w:rPr>
                <w:sz w:val="13"/>
              </w:rPr>
              <w:t>1</w:t>
            </w:r>
          </w:p>
        </w:tc>
        <w:tc>
          <w:tcPr>
            <w:tcW w:type="dxa" w:w="1249"/>
            <w:vAlign w:val="center"/>
          </w:tcPr>
          <w:p>
            <w:r>
              <w:rPr>
                <w:sz w:val="13"/>
              </w:rPr>
              <w:t>0</w:t>
            </w:r>
          </w:p>
        </w:tc>
      </w:tr>
      <w:tr>
        <w:trPr>
          <w:cantSplit/>
        </w:trPr>
        <w:tc>
          <w:tcPr>
            <w:tcW w:type="dxa" w:w="1249"/>
            <w:vAlign w:val="center"/>
          </w:tcPr>
          <w:p>
            <w:r>
              <w:rPr>
                <w:sz w:val="13"/>
              </w:rPr>
              <w:t>SciFact</w:t>
            </w:r>
          </w:p>
        </w:tc>
        <w:tc>
          <w:tcPr>
            <w:tcW w:type="dxa" w:w="1249"/>
            <w:vAlign w:val="center"/>
          </w:tcPr>
          <w:p>
            <w:r>
              <w:rPr>
                <w:sz w:val="13"/>
              </w:rPr>
              <w:t>Empirical Bernstein</w:t>
            </w:r>
          </w:p>
        </w:tc>
        <w:tc>
          <w:tcPr>
            <w:tcW w:type="dxa" w:w="1249"/>
            <w:vAlign w:val="center"/>
          </w:tcPr>
          <w:p>
            <w:r>
              <w:rPr>
                <w:sz w:val="13"/>
              </w:rPr>
              <w:t>0.6998</w:t>
            </w:r>
          </w:p>
        </w:tc>
        <w:tc>
          <w:tcPr>
            <w:tcW w:type="dxa" w:w="1249"/>
            <w:vAlign w:val="center"/>
          </w:tcPr>
          <w:p>
            <w:r>
              <w:rPr>
                <w:sz w:val="13"/>
              </w:rPr>
              <w:t>+0.0000</w:t>
            </w:r>
          </w:p>
        </w:tc>
        <w:tc>
          <w:tcPr>
            <w:tcW w:type="dxa" w:w="1249"/>
            <w:vAlign w:val="center"/>
          </w:tcPr>
          <w:p>
            <w:r>
              <w:rPr>
                <w:sz w:val="13"/>
              </w:rPr>
              <w:t>0.0%</w:t>
            </w:r>
          </w:p>
        </w:tc>
        <w:tc>
          <w:tcPr>
            <w:tcW w:type="dxa" w:w="1249"/>
            <w:vAlign w:val="center"/>
          </w:tcPr>
          <w:p>
            <w:r>
              <w:rPr>
                <w:sz w:val="13"/>
              </w:rPr>
              <w:t>0</w:t>
            </w:r>
          </w:p>
        </w:tc>
        <w:tc>
          <w:tcPr>
            <w:tcW w:type="dxa" w:w="1249"/>
            <w:vAlign w:val="center"/>
          </w:tcPr>
          <w:p>
            <w:r>
              <w:rPr>
                <w:sz w:val="13"/>
              </w:rPr>
              <w:t>0</w:t>
            </w:r>
          </w:p>
        </w:tc>
        <w:tc>
          <w:tcPr>
            <w:tcW w:type="dxa" w:w="1249"/>
            <w:vAlign w:val="center"/>
          </w:tcPr>
          <w:p>
            <w:r>
              <w:rPr>
                <w:sz w:val="13"/>
              </w:rPr>
              <w:t>0</w:t>
            </w:r>
          </w:p>
        </w:tc>
      </w:tr>
      <w:tr>
        <w:trPr>
          <w:cantSplit/>
        </w:trPr>
        <w:tc>
          <w:tcPr>
            <w:tcW w:type="dxa" w:w="1249"/>
            <w:vAlign w:val="center"/>
          </w:tcPr>
          <w:p>
            <w:r>
              <w:rPr>
                <w:sz w:val="13"/>
              </w:rPr>
              <w:t>SciFact</w:t>
            </w:r>
          </w:p>
        </w:tc>
        <w:tc>
          <w:tcPr>
            <w:tcW w:type="dxa" w:w="1249"/>
            <w:vAlign w:val="center"/>
          </w:tcPr>
          <w:p>
            <w:r>
              <w:rPr>
                <w:sz w:val="13"/>
              </w:rPr>
              <w:t>BiblioGuard</w:t>
            </w:r>
          </w:p>
        </w:tc>
        <w:tc>
          <w:tcPr>
            <w:tcW w:type="dxa" w:w="1249"/>
            <w:vAlign w:val="center"/>
          </w:tcPr>
          <w:p>
            <w:r>
              <w:rPr>
                <w:sz w:val="13"/>
              </w:rPr>
              <w:t>0.6998</w:t>
            </w:r>
          </w:p>
        </w:tc>
        <w:tc>
          <w:tcPr>
            <w:tcW w:type="dxa" w:w="1249"/>
            <w:vAlign w:val="center"/>
          </w:tcPr>
          <w:p>
            <w:r>
              <w:rPr>
                <w:sz w:val="13"/>
              </w:rPr>
              <w:t>+0.0000</w:t>
            </w:r>
          </w:p>
        </w:tc>
        <w:tc>
          <w:tcPr>
            <w:tcW w:type="dxa" w:w="1249"/>
            <w:vAlign w:val="center"/>
          </w:tcPr>
          <w:p>
            <w:r>
              <w:rPr>
                <w:sz w:val="13"/>
              </w:rPr>
              <w:t>0.0%</w:t>
            </w:r>
          </w:p>
        </w:tc>
        <w:tc>
          <w:tcPr>
            <w:tcW w:type="dxa" w:w="1249"/>
            <w:vAlign w:val="center"/>
          </w:tcPr>
          <w:p>
            <w:r>
              <w:rPr>
                <w:sz w:val="13"/>
              </w:rPr>
              <w:t>0</w:t>
            </w:r>
          </w:p>
        </w:tc>
        <w:tc>
          <w:tcPr>
            <w:tcW w:type="dxa" w:w="1249"/>
            <w:vAlign w:val="center"/>
          </w:tcPr>
          <w:p>
            <w:r>
              <w:rPr>
                <w:sz w:val="13"/>
              </w:rPr>
              <w:t>0</w:t>
            </w:r>
          </w:p>
        </w:tc>
        <w:tc>
          <w:tcPr>
            <w:tcW w:type="dxa" w:w="1249"/>
            <w:vAlign w:val="center"/>
          </w:tcPr>
          <w:p>
            <w:r>
              <w:rPr>
                <w:sz w:val="13"/>
              </w:rPr>
              <w:t>0</w:t>
            </w:r>
          </w:p>
        </w:tc>
      </w:tr>
      <w:tr>
        <w:trPr>
          <w:cantSplit/>
        </w:trPr>
        <w:tc>
          <w:tcPr>
            <w:tcW w:type="dxa" w:w="1249"/>
            <w:vAlign w:val="center"/>
          </w:tcPr>
          <w:p>
            <w:r>
              <w:rPr>
                <w:sz w:val="13"/>
              </w:rPr>
              <w:t>NFCorpus</w:t>
            </w:r>
          </w:p>
        </w:tc>
        <w:tc>
          <w:tcPr>
            <w:tcW w:type="dxa" w:w="1249"/>
            <w:vAlign w:val="center"/>
          </w:tcPr>
          <w:p>
            <w:r>
              <w:rPr>
                <w:sz w:val="13"/>
              </w:rPr>
              <w:t>Global-best</w:t>
            </w:r>
          </w:p>
        </w:tc>
        <w:tc>
          <w:tcPr>
            <w:tcW w:type="dxa" w:w="1249"/>
            <w:vAlign w:val="center"/>
          </w:tcPr>
          <w:p>
            <w:r>
              <w:rPr>
                <w:sz w:val="13"/>
              </w:rPr>
              <w:t>0.3487</w:t>
            </w:r>
          </w:p>
        </w:tc>
        <w:tc>
          <w:tcPr>
            <w:tcW w:type="dxa" w:w="1249"/>
            <w:vAlign w:val="center"/>
          </w:tcPr>
          <w:p>
            <w:r>
              <w:rPr>
                <w:sz w:val="13"/>
              </w:rPr>
              <w:t>+0.0000</w:t>
            </w:r>
          </w:p>
        </w:tc>
        <w:tc>
          <w:tcPr>
            <w:tcW w:type="dxa" w:w="1249"/>
            <w:vAlign w:val="center"/>
          </w:tcPr>
          <w:p>
            <w:r>
              <w:rPr>
                <w:sz w:val="13"/>
              </w:rPr>
              <w:t>100.0%</w:t>
            </w:r>
          </w:p>
        </w:tc>
        <w:tc>
          <w:tcPr>
            <w:tcW w:type="dxa" w:w="1249"/>
            <w:vAlign w:val="center"/>
          </w:tcPr>
          <w:p>
            <w:r>
              <w:rPr>
                <w:sz w:val="13"/>
              </w:rPr>
              <w:t>4</w:t>
            </w:r>
          </w:p>
        </w:tc>
        <w:tc>
          <w:tcPr>
            <w:tcW w:type="dxa" w:w="1249"/>
            <w:vAlign w:val="center"/>
          </w:tcPr>
          <w:p>
            <w:r>
              <w:rPr>
                <w:sz w:val="13"/>
              </w:rPr>
              <w:t>316</w:t>
            </w:r>
          </w:p>
        </w:tc>
        <w:tc>
          <w:tcPr>
            <w:tcW w:type="dxa" w:w="1249"/>
            <w:vAlign w:val="center"/>
          </w:tcPr>
          <w:p>
            <w:r>
              <w:rPr>
                <w:sz w:val="13"/>
              </w:rPr>
              <w:t>3</w:t>
            </w:r>
          </w:p>
        </w:tc>
      </w:tr>
      <w:tr>
        <w:trPr>
          <w:cantSplit/>
        </w:trPr>
        <w:tc>
          <w:tcPr>
            <w:tcW w:type="dxa" w:w="1249"/>
            <w:vAlign w:val="center"/>
          </w:tcPr>
          <w:p>
            <w:r>
              <w:rPr>
                <w:sz w:val="13"/>
              </w:rPr>
              <w:t>NFCorpus</w:t>
            </w:r>
          </w:p>
        </w:tc>
        <w:tc>
          <w:tcPr>
            <w:tcW w:type="dxa" w:w="1249"/>
            <w:vAlign w:val="center"/>
          </w:tcPr>
          <w:p>
            <w:r>
              <w:rPr>
                <w:sz w:val="13"/>
              </w:rPr>
              <w:t>Local kNN mean</w:t>
            </w:r>
          </w:p>
        </w:tc>
        <w:tc>
          <w:tcPr>
            <w:tcW w:type="dxa" w:w="1249"/>
            <w:vAlign w:val="center"/>
          </w:tcPr>
          <w:p>
            <w:r>
              <w:rPr>
                <w:sz w:val="13"/>
              </w:rPr>
              <w:t>0.3483</w:t>
            </w:r>
          </w:p>
        </w:tc>
        <w:tc>
          <w:tcPr>
            <w:tcW w:type="dxa" w:w="1249"/>
            <w:vAlign w:val="center"/>
          </w:tcPr>
          <w:p>
            <w:r>
              <w:rPr>
                <w:sz w:val="13"/>
              </w:rPr>
              <w:t>-0.0004</w:t>
            </w:r>
          </w:p>
        </w:tc>
        <w:tc>
          <w:tcPr>
            <w:tcW w:type="dxa" w:w="1249"/>
            <w:vAlign w:val="center"/>
          </w:tcPr>
          <w:p>
            <w:r>
              <w:rPr>
                <w:sz w:val="13"/>
              </w:rPr>
              <w:t>71.8%</w:t>
            </w:r>
          </w:p>
        </w:tc>
        <w:tc>
          <w:tcPr>
            <w:tcW w:type="dxa" w:w="1249"/>
            <w:vAlign w:val="center"/>
          </w:tcPr>
          <w:p>
            <w:r>
              <w:rPr>
                <w:sz w:val="13"/>
              </w:rPr>
              <w:t>41</w:t>
            </w:r>
          </w:p>
        </w:tc>
        <w:tc>
          <w:tcPr>
            <w:tcW w:type="dxa" w:w="1249"/>
            <w:vAlign w:val="center"/>
          </w:tcPr>
          <w:p>
            <w:r>
              <w:rPr>
                <w:sz w:val="13"/>
              </w:rPr>
              <w:t>157</w:t>
            </w:r>
          </w:p>
        </w:tc>
        <w:tc>
          <w:tcPr>
            <w:tcW w:type="dxa" w:w="1249"/>
            <w:vAlign w:val="center"/>
          </w:tcPr>
          <w:p>
            <w:r>
              <w:rPr>
                <w:sz w:val="13"/>
              </w:rPr>
              <w:t>34</w:t>
            </w:r>
          </w:p>
        </w:tc>
      </w:tr>
      <w:tr>
        <w:trPr>
          <w:cantSplit/>
        </w:trPr>
        <w:tc>
          <w:tcPr>
            <w:tcW w:type="dxa" w:w="1249"/>
            <w:vAlign w:val="center"/>
          </w:tcPr>
          <w:p>
            <w:r>
              <w:rPr>
                <w:sz w:val="13"/>
              </w:rPr>
              <w:t>NFCorpus</w:t>
            </w:r>
          </w:p>
        </w:tc>
        <w:tc>
          <w:tcPr>
            <w:tcW w:type="dxa" w:w="1249"/>
            <w:vAlign w:val="center"/>
          </w:tcPr>
          <w:p>
            <w:r>
              <w:rPr>
                <w:sz w:val="13"/>
              </w:rPr>
              <w:t>Uncorrected PDS</w:t>
            </w:r>
          </w:p>
        </w:tc>
        <w:tc>
          <w:tcPr>
            <w:tcW w:type="dxa" w:w="1249"/>
            <w:vAlign w:val="center"/>
          </w:tcPr>
          <w:p>
            <w:r>
              <w:rPr>
                <w:sz w:val="13"/>
              </w:rPr>
              <w:t>0.3493</w:t>
            </w:r>
          </w:p>
        </w:tc>
        <w:tc>
          <w:tcPr>
            <w:tcW w:type="dxa" w:w="1249"/>
            <w:vAlign w:val="center"/>
          </w:tcPr>
          <w:p>
            <w:r>
              <w:rPr>
                <w:sz w:val="13"/>
              </w:rPr>
              <w:t>+0.0005</w:t>
            </w:r>
          </w:p>
        </w:tc>
        <w:tc>
          <w:tcPr>
            <w:tcW w:type="dxa" w:w="1249"/>
            <w:vAlign w:val="center"/>
          </w:tcPr>
          <w:p>
            <w:r>
              <w:rPr>
                <w:sz w:val="13"/>
              </w:rPr>
              <w:t>2.2%</w:t>
            </w:r>
          </w:p>
        </w:tc>
        <w:tc>
          <w:tcPr>
            <w:tcW w:type="dxa" w:w="1249"/>
            <w:vAlign w:val="center"/>
          </w:tcPr>
          <w:p>
            <w:r>
              <w:rPr>
                <w:sz w:val="13"/>
              </w:rPr>
              <w:t>3</w:t>
            </w:r>
          </w:p>
        </w:tc>
        <w:tc>
          <w:tcPr>
            <w:tcW w:type="dxa" w:w="1249"/>
            <w:vAlign w:val="center"/>
          </w:tcPr>
          <w:p>
            <w:r>
              <w:rPr>
                <w:sz w:val="13"/>
              </w:rPr>
              <w:t>3</w:t>
            </w:r>
          </w:p>
        </w:tc>
        <w:tc>
          <w:tcPr>
            <w:tcW w:type="dxa" w:w="1249"/>
            <w:vAlign w:val="center"/>
          </w:tcPr>
          <w:p>
            <w:r>
              <w:rPr>
                <w:sz w:val="13"/>
              </w:rPr>
              <w:t>1</w:t>
            </w:r>
          </w:p>
        </w:tc>
      </w:tr>
      <w:tr>
        <w:trPr>
          <w:cantSplit/>
        </w:trPr>
        <w:tc>
          <w:tcPr>
            <w:tcW w:type="dxa" w:w="1249"/>
            <w:vAlign w:val="center"/>
          </w:tcPr>
          <w:p>
            <w:r>
              <w:rPr>
                <w:sz w:val="13"/>
              </w:rPr>
              <w:t>NFCorpus</w:t>
            </w:r>
          </w:p>
        </w:tc>
        <w:tc>
          <w:tcPr>
            <w:tcW w:type="dxa" w:w="1249"/>
            <w:vAlign w:val="center"/>
          </w:tcPr>
          <w:p>
            <w:r>
              <w:rPr>
                <w:sz w:val="13"/>
              </w:rPr>
              <w:t>Empirical Bernstein</w:t>
            </w:r>
          </w:p>
        </w:tc>
        <w:tc>
          <w:tcPr>
            <w:tcW w:type="dxa" w:w="1249"/>
            <w:vAlign w:val="center"/>
          </w:tcPr>
          <w:p>
            <w:r>
              <w:rPr>
                <w:sz w:val="13"/>
              </w:rPr>
              <w:t>0.3487</w:t>
            </w:r>
          </w:p>
        </w:tc>
        <w:tc>
          <w:tcPr>
            <w:tcW w:type="dxa" w:w="1249"/>
            <w:vAlign w:val="center"/>
          </w:tcPr>
          <w:p>
            <w:r>
              <w:rPr>
                <w:sz w:val="13"/>
              </w:rPr>
              <w:t>+0.0000</w:t>
            </w:r>
          </w:p>
        </w:tc>
        <w:tc>
          <w:tcPr>
            <w:tcW w:type="dxa" w:w="1249"/>
            <w:vAlign w:val="center"/>
          </w:tcPr>
          <w:p>
            <w:r>
              <w:rPr>
                <w:sz w:val="13"/>
              </w:rPr>
              <w:t>0.0%</w:t>
            </w:r>
          </w:p>
        </w:tc>
        <w:tc>
          <w:tcPr>
            <w:tcW w:type="dxa" w:w="1249"/>
            <w:vAlign w:val="center"/>
          </w:tcPr>
          <w:p>
            <w:r>
              <w:rPr>
                <w:sz w:val="13"/>
              </w:rPr>
              <w:t>0</w:t>
            </w:r>
          </w:p>
        </w:tc>
        <w:tc>
          <w:tcPr>
            <w:tcW w:type="dxa" w:w="1249"/>
            <w:vAlign w:val="center"/>
          </w:tcPr>
          <w:p>
            <w:r>
              <w:rPr>
                <w:sz w:val="13"/>
              </w:rPr>
              <w:t>0</w:t>
            </w:r>
          </w:p>
        </w:tc>
        <w:tc>
          <w:tcPr>
            <w:tcW w:type="dxa" w:w="1249"/>
            <w:vAlign w:val="center"/>
          </w:tcPr>
          <w:p>
            <w:r>
              <w:rPr>
                <w:sz w:val="13"/>
              </w:rPr>
              <w:t>0</w:t>
            </w:r>
          </w:p>
        </w:tc>
      </w:tr>
      <w:tr>
        <w:trPr>
          <w:cantSplit/>
        </w:trPr>
        <w:tc>
          <w:tcPr>
            <w:tcW w:type="dxa" w:w="1249"/>
            <w:vAlign w:val="center"/>
          </w:tcPr>
          <w:p>
            <w:r>
              <w:rPr>
                <w:sz w:val="13"/>
              </w:rPr>
              <w:t>NFCorpus</w:t>
            </w:r>
          </w:p>
        </w:tc>
        <w:tc>
          <w:tcPr>
            <w:tcW w:type="dxa" w:w="1249"/>
            <w:vAlign w:val="center"/>
          </w:tcPr>
          <w:p>
            <w:r>
              <w:rPr>
                <w:sz w:val="13"/>
              </w:rPr>
              <w:t>BiblioGuard</w:t>
            </w:r>
          </w:p>
        </w:tc>
        <w:tc>
          <w:tcPr>
            <w:tcW w:type="dxa" w:w="1249"/>
            <w:vAlign w:val="center"/>
          </w:tcPr>
          <w:p>
            <w:r>
              <w:rPr>
                <w:sz w:val="13"/>
              </w:rPr>
              <w:t>0.3487</w:t>
            </w:r>
          </w:p>
        </w:tc>
        <w:tc>
          <w:tcPr>
            <w:tcW w:type="dxa" w:w="1249"/>
            <w:vAlign w:val="center"/>
          </w:tcPr>
          <w:p>
            <w:r>
              <w:rPr>
                <w:sz w:val="13"/>
              </w:rPr>
              <w:t>+0.0000</w:t>
            </w:r>
          </w:p>
        </w:tc>
        <w:tc>
          <w:tcPr>
            <w:tcW w:type="dxa" w:w="1249"/>
            <w:vAlign w:val="center"/>
          </w:tcPr>
          <w:p>
            <w:r>
              <w:rPr>
                <w:sz w:val="13"/>
              </w:rPr>
              <w:t>0.0%</w:t>
            </w:r>
          </w:p>
        </w:tc>
        <w:tc>
          <w:tcPr>
            <w:tcW w:type="dxa" w:w="1249"/>
            <w:vAlign w:val="center"/>
          </w:tcPr>
          <w:p>
            <w:r>
              <w:rPr>
                <w:sz w:val="13"/>
              </w:rPr>
              <w:t>0</w:t>
            </w:r>
          </w:p>
        </w:tc>
        <w:tc>
          <w:tcPr>
            <w:tcW w:type="dxa" w:w="1249"/>
            <w:vAlign w:val="center"/>
          </w:tcPr>
          <w:p>
            <w:r>
              <w:rPr>
                <w:sz w:val="13"/>
              </w:rPr>
              <w:t>0</w:t>
            </w:r>
          </w:p>
        </w:tc>
        <w:tc>
          <w:tcPr>
            <w:tcW w:type="dxa" w:w="1249"/>
            <w:vAlign w:val="center"/>
          </w:tcPr>
          <w:p>
            <w:r>
              <w:rPr>
                <w:sz w:val="13"/>
              </w:rPr>
              <w:t>0</w:t>
            </w:r>
          </w:p>
        </w:tc>
      </w:tr>
      <w:tr>
        <w:trPr>
          <w:cantSplit/>
        </w:trPr>
        <w:tc>
          <w:tcPr>
            <w:tcW w:type="dxa" w:w="1249"/>
            <w:vAlign w:val="center"/>
          </w:tcPr>
          <w:p>
            <w:r>
              <w:rPr>
                <w:sz w:val="13"/>
              </w:rPr>
              <w:t>TREC-COVID</w:t>
            </w:r>
          </w:p>
        </w:tc>
        <w:tc>
          <w:tcPr>
            <w:tcW w:type="dxa" w:w="1249"/>
            <w:vAlign w:val="center"/>
          </w:tcPr>
          <w:p>
            <w:r>
              <w:rPr>
                <w:sz w:val="13"/>
              </w:rPr>
              <w:t>Global-best</w:t>
            </w:r>
          </w:p>
        </w:tc>
        <w:tc>
          <w:tcPr>
            <w:tcW w:type="dxa" w:w="1249"/>
            <w:vAlign w:val="center"/>
          </w:tcPr>
          <w:p>
            <w:r>
              <w:rPr>
                <w:sz w:val="13"/>
              </w:rPr>
              <w:t>0.7577</w:t>
            </w:r>
          </w:p>
        </w:tc>
        <w:tc>
          <w:tcPr>
            <w:tcW w:type="dxa" w:w="1249"/>
            <w:vAlign w:val="center"/>
          </w:tcPr>
          <w:p>
            <w:r>
              <w:rPr>
                <w:sz w:val="13"/>
              </w:rPr>
              <w:t>-0.0001</w:t>
            </w:r>
          </w:p>
        </w:tc>
        <w:tc>
          <w:tcPr>
            <w:tcW w:type="dxa" w:w="1249"/>
            <w:vAlign w:val="center"/>
          </w:tcPr>
          <w:p>
            <w:r>
              <w:rPr>
                <w:sz w:val="13"/>
              </w:rPr>
              <w:t>100.0%</w:t>
            </w:r>
          </w:p>
        </w:tc>
        <w:tc>
          <w:tcPr>
            <w:tcW w:type="dxa" w:w="1249"/>
            <w:vAlign w:val="center"/>
          </w:tcPr>
          <w:p>
            <w:r>
              <w:rPr>
                <w:sz w:val="13"/>
              </w:rPr>
              <w:t>13</w:t>
            </w:r>
          </w:p>
        </w:tc>
        <w:tc>
          <w:tcPr>
            <w:tcW w:type="dxa" w:w="1249"/>
            <w:vAlign w:val="center"/>
          </w:tcPr>
          <w:p>
            <w:r>
              <w:rPr>
                <w:sz w:val="13"/>
              </w:rPr>
              <w:t>25</w:t>
            </w:r>
          </w:p>
        </w:tc>
        <w:tc>
          <w:tcPr>
            <w:tcW w:type="dxa" w:w="1249"/>
            <w:vAlign w:val="center"/>
          </w:tcPr>
          <w:p>
            <w:r>
              <w:rPr>
                <w:sz w:val="13"/>
              </w:rPr>
              <w:t>12</w:t>
            </w:r>
          </w:p>
        </w:tc>
      </w:tr>
      <w:tr>
        <w:trPr>
          <w:cantSplit/>
        </w:trPr>
        <w:tc>
          <w:tcPr>
            <w:tcW w:type="dxa" w:w="1249"/>
            <w:vAlign w:val="center"/>
          </w:tcPr>
          <w:p>
            <w:r>
              <w:rPr>
                <w:sz w:val="13"/>
              </w:rPr>
              <w:t>TREC-COVID</w:t>
            </w:r>
          </w:p>
        </w:tc>
        <w:tc>
          <w:tcPr>
            <w:tcW w:type="dxa" w:w="1249"/>
            <w:vAlign w:val="center"/>
          </w:tcPr>
          <w:p>
            <w:r>
              <w:rPr>
                <w:sz w:val="13"/>
              </w:rPr>
              <w:t>Local kNN mean</w:t>
            </w:r>
          </w:p>
        </w:tc>
        <w:tc>
          <w:tcPr>
            <w:tcW w:type="dxa" w:w="1249"/>
            <w:vAlign w:val="center"/>
          </w:tcPr>
          <w:p>
            <w:r>
              <w:rPr>
                <w:sz w:val="13"/>
              </w:rPr>
              <w:t>0.7608</w:t>
            </w:r>
          </w:p>
        </w:tc>
        <w:tc>
          <w:tcPr>
            <w:tcW w:type="dxa" w:w="1249"/>
            <w:vAlign w:val="center"/>
          </w:tcPr>
          <w:p>
            <w:r>
              <w:rPr>
                <w:sz w:val="13"/>
              </w:rPr>
              <w:t>+0.0029</w:t>
            </w:r>
          </w:p>
        </w:tc>
        <w:tc>
          <w:tcPr>
            <w:tcW w:type="dxa" w:w="1249"/>
            <w:vAlign w:val="center"/>
          </w:tcPr>
          <w:p>
            <w:r>
              <w:rPr>
                <w:sz w:val="13"/>
              </w:rPr>
              <w:t>100.0%</w:t>
            </w:r>
          </w:p>
        </w:tc>
        <w:tc>
          <w:tcPr>
            <w:tcW w:type="dxa" w:w="1249"/>
            <w:vAlign w:val="center"/>
          </w:tcPr>
          <w:p>
            <w:r>
              <w:rPr>
                <w:sz w:val="13"/>
              </w:rPr>
              <w:t>16</w:t>
            </w:r>
          </w:p>
        </w:tc>
        <w:tc>
          <w:tcPr>
            <w:tcW w:type="dxa" w:w="1249"/>
            <w:vAlign w:val="center"/>
          </w:tcPr>
          <w:p>
            <w:r>
              <w:rPr>
                <w:sz w:val="13"/>
              </w:rPr>
              <w:t>19</w:t>
            </w:r>
          </w:p>
        </w:tc>
        <w:tc>
          <w:tcPr>
            <w:tcW w:type="dxa" w:w="1249"/>
            <w:vAlign w:val="center"/>
          </w:tcPr>
          <w:p>
            <w:r>
              <w:rPr>
                <w:sz w:val="13"/>
              </w:rPr>
              <w:t>15</w:t>
            </w:r>
          </w:p>
        </w:tc>
      </w:tr>
      <w:tr>
        <w:trPr>
          <w:cantSplit/>
        </w:trPr>
        <w:tc>
          <w:tcPr>
            <w:tcW w:type="dxa" w:w="1249"/>
            <w:vAlign w:val="center"/>
          </w:tcPr>
          <w:p>
            <w:r>
              <w:rPr>
                <w:sz w:val="13"/>
              </w:rPr>
              <w:t>TREC-COVID</w:t>
            </w:r>
          </w:p>
        </w:tc>
        <w:tc>
          <w:tcPr>
            <w:tcW w:type="dxa" w:w="1249"/>
            <w:vAlign w:val="center"/>
          </w:tcPr>
          <w:p>
            <w:r>
              <w:rPr>
                <w:sz w:val="13"/>
              </w:rPr>
              <w:t>Uncorrected PDS</w:t>
            </w:r>
          </w:p>
        </w:tc>
        <w:tc>
          <w:tcPr>
            <w:tcW w:type="dxa" w:w="1249"/>
            <w:vAlign w:val="center"/>
          </w:tcPr>
          <w:p>
            <w:r>
              <w:rPr>
                <w:sz w:val="13"/>
              </w:rPr>
              <w:t>0.7583</w:t>
            </w:r>
          </w:p>
        </w:tc>
        <w:tc>
          <w:tcPr>
            <w:tcW w:type="dxa" w:w="1249"/>
            <w:vAlign w:val="center"/>
          </w:tcPr>
          <w:p>
            <w:r>
              <w:rPr>
                <w:sz w:val="13"/>
              </w:rPr>
              <w:t>+0.0005</w:t>
            </w:r>
          </w:p>
        </w:tc>
        <w:tc>
          <w:tcPr>
            <w:tcW w:type="dxa" w:w="1249"/>
            <w:vAlign w:val="center"/>
          </w:tcPr>
          <w:p>
            <w:r>
              <w:rPr>
                <w:sz w:val="13"/>
              </w:rPr>
              <w:t>12.0%</w:t>
            </w:r>
          </w:p>
        </w:tc>
        <w:tc>
          <w:tcPr>
            <w:tcW w:type="dxa" w:w="1249"/>
            <w:vAlign w:val="center"/>
          </w:tcPr>
          <w:p>
            <w:r>
              <w:rPr>
                <w:sz w:val="13"/>
              </w:rPr>
              <w:t>3</w:t>
            </w:r>
          </w:p>
        </w:tc>
        <w:tc>
          <w:tcPr>
            <w:tcW w:type="dxa" w:w="1249"/>
            <w:vAlign w:val="center"/>
          </w:tcPr>
          <w:p>
            <w:r>
              <w:rPr>
                <w:sz w:val="13"/>
              </w:rPr>
              <w:t>2</w:t>
            </w:r>
          </w:p>
        </w:tc>
        <w:tc>
          <w:tcPr>
            <w:tcW w:type="dxa" w:w="1249"/>
            <w:vAlign w:val="center"/>
          </w:tcPr>
          <w:p>
            <w:r>
              <w:rPr>
                <w:sz w:val="13"/>
              </w:rPr>
              <w:t>1</w:t>
            </w:r>
          </w:p>
        </w:tc>
      </w:tr>
      <w:tr>
        <w:trPr>
          <w:cantSplit/>
        </w:trPr>
        <w:tc>
          <w:tcPr>
            <w:tcW w:type="dxa" w:w="1249"/>
            <w:vAlign w:val="center"/>
          </w:tcPr>
          <w:p>
            <w:r>
              <w:rPr>
                <w:sz w:val="13"/>
              </w:rPr>
              <w:t>TREC-COVID</w:t>
            </w:r>
          </w:p>
        </w:tc>
        <w:tc>
          <w:tcPr>
            <w:tcW w:type="dxa" w:w="1249"/>
            <w:vAlign w:val="center"/>
          </w:tcPr>
          <w:p>
            <w:r>
              <w:rPr>
                <w:sz w:val="13"/>
              </w:rPr>
              <w:t>Empirical Bernstein</w:t>
            </w:r>
          </w:p>
        </w:tc>
        <w:tc>
          <w:tcPr>
            <w:tcW w:type="dxa" w:w="1249"/>
            <w:vAlign w:val="center"/>
          </w:tcPr>
          <w:p>
            <w:r>
              <w:rPr>
                <w:sz w:val="13"/>
              </w:rPr>
              <w:t>0.7578</w:t>
            </w:r>
          </w:p>
        </w:tc>
        <w:tc>
          <w:tcPr>
            <w:tcW w:type="dxa" w:w="1249"/>
            <w:vAlign w:val="center"/>
          </w:tcPr>
          <w:p>
            <w:r>
              <w:rPr>
                <w:sz w:val="13"/>
              </w:rPr>
              <w:t>+0.0000</w:t>
            </w:r>
          </w:p>
        </w:tc>
        <w:tc>
          <w:tcPr>
            <w:tcW w:type="dxa" w:w="1249"/>
            <w:vAlign w:val="center"/>
          </w:tcPr>
          <w:p>
            <w:r>
              <w:rPr>
                <w:sz w:val="13"/>
              </w:rPr>
              <w:t>0.0%</w:t>
            </w:r>
          </w:p>
        </w:tc>
        <w:tc>
          <w:tcPr>
            <w:tcW w:type="dxa" w:w="1249"/>
            <w:vAlign w:val="center"/>
          </w:tcPr>
          <w:p>
            <w:r>
              <w:rPr>
                <w:sz w:val="13"/>
              </w:rPr>
              <w:t>0</w:t>
            </w:r>
          </w:p>
        </w:tc>
        <w:tc>
          <w:tcPr>
            <w:tcW w:type="dxa" w:w="1249"/>
            <w:vAlign w:val="center"/>
          </w:tcPr>
          <w:p>
            <w:r>
              <w:rPr>
                <w:sz w:val="13"/>
              </w:rPr>
              <w:t>0</w:t>
            </w:r>
          </w:p>
        </w:tc>
        <w:tc>
          <w:tcPr>
            <w:tcW w:type="dxa" w:w="1249"/>
            <w:vAlign w:val="center"/>
          </w:tcPr>
          <w:p>
            <w:r>
              <w:rPr>
                <w:sz w:val="13"/>
              </w:rPr>
              <w:t>0</w:t>
            </w:r>
          </w:p>
        </w:tc>
      </w:tr>
      <w:tr>
        <w:trPr>
          <w:cantSplit/>
        </w:trPr>
        <w:tc>
          <w:tcPr>
            <w:tcW w:type="dxa" w:w="1249"/>
            <w:vAlign w:val="center"/>
          </w:tcPr>
          <w:p>
            <w:r>
              <w:rPr>
                <w:sz w:val="13"/>
              </w:rPr>
              <w:t>TREC-COVID</w:t>
            </w:r>
          </w:p>
        </w:tc>
        <w:tc>
          <w:tcPr>
            <w:tcW w:type="dxa" w:w="1249"/>
            <w:vAlign w:val="center"/>
          </w:tcPr>
          <w:p>
            <w:r>
              <w:rPr>
                <w:sz w:val="13"/>
              </w:rPr>
              <w:t>BiblioGuard</w:t>
            </w:r>
          </w:p>
        </w:tc>
        <w:tc>
          <w:tcPr>
            <w:tcW w:type="dxa" w:w="1249"/>
            <w:vAlign w:val="center"/>
          </w:tcPr>
          <w:p>
            <w:r>
              <w:rPr>
                <w:sz w:val="13"/>
              </w:rPr>
              <w:t>0.7578</w:t>
            </w:r>
          </w:p>
        </w:tc>
        <w:tc>
          <w:tcPr>
            <w:tcW w:type="dxa" w:w="1249"/>
            <w:vAlign w:val="center"/>
          </w:tcPr>
          <w:p>
            <w:r>
              <w:rPr>
                <w:sz w:val="13"/>
              </w:rPr>
              <w:t>+0.0000</w:t>
            </w:r>
          </w:p>
        </w:tc>
        <w:tc>
          <w:tcPr>
            <w:tcW w:type="dxa" w:w="1249"/>
            <w:vAlign w:val="center"/>
          </w:tcPr>
          <w:p>
            <w:r>
              <w:rPr>
                <w:sz w:val="13"/>
              </w:rPr>
              <w:t>0.0%</w:t>
            </w:r>
          </w:p>
        </w:tc>
        <w:tc>
          <w:tcPr>
            <w:tcW w:type="dxa" w:w="1249"/>
            <w:vAlign w:val="center"/>
          </w:tcPr>
          <w:p>
            <w:r>
              <w:rPr>
                <w:sz w:val="13"/>
              </w:rPr>
              <w:t>0</w:t>
            </w:r>
          </w:p>
        </w:tc>
        <w:tc>
          <w:tcPr>
            <w:tcW w:type="dxa" w:w="1249"/>
            <w:vAlign w:val="center"/>
          </w:tcPr>
          <w:p>
            <w:r>
              <w:rPr>
                <w:sz w:val="13"/>
              </w:rPr>
              <w:t>0</w:t>
            </w:r>
          </w:p>
        </w:tc>
        <w:tc>
          <w:tcPr>
            <w:tcW w:type="dxa" w:w="1249"/>
            <w:vAlign w:val="center"/>
          </w:tcPr>
          <w:p>
            <w:r>
              <w:rPr>
                <w:sz w:val="13"/>
              </w:rPr>
              <w:t>0</w:t>
            </w:r>
          </w:p>
        </w:tc>
      </w:tr>
    </w:tbl>
    <w:p>
      <w:pPr>
        <w:spacing w:after="20"/>
      </w:pPr>
    </w:p>
    <w:p>
      <w:pPr>
        <w:keepNext w:val="0"/>
      </w:pPr>
      <w:r>
        <w:rPr>
          <w:b w:val="0"/>
          <w:i w:val="0"/>
        </w:rPr>
        <w:t>The SCIDOCS global-best action obtains a larger average gain (+0.0469) but harms 146 active queries. The local mean harms 138; BiblioGuard reduces that count to 62 while intervening on fewer queries. This is the central trade-off: the gate sacrifices some mean upside for lower exposure to query-level harm. It does not eliminate harm. The empirical Bernstein comparator abstains throughout the evaluated domains, illustrating that a bounded-effect penalty can be too conservative at these local sample sizes.</w:t>
      </w:r>
    </w:p>
    <w:p>
      <w:pPr>
        <w:keepNext/>
        <w:jc w:val="center"/>
      </w:pPr>
      <w:r>
        <w:drawing>
          <wp:inline xmlns:a="http://schemas.openxmlformats.org/drawingml/2006/main" xmlns:pic="http://schemas.openxmlformats.org/drawingml/2006/picture">
            <wp:extent cx="5760720" cy="2770079"/>
            <wp:docPr id="2" name="Picture 2"/>
            <wp:cNvGraphicFramePr>
              <a:graphicFrameLocks noChangeAspect="1"/>
            </wp:cNvGraphicFramePr>
            <a:graphic>
              <a:graphicData uri="http://schemas.openxmlformats.org/drawingml/2006/picture">
                <pic:pic>
                  <pic:nvPicPr>
                    <pic:cNvPr id="0" name="Fig4_active_outcomes.png"/>
                    <pic:cNvPicPr/>
                  </pic:nvPicPr>
                  <pic:blipFill>
                    <a:blip r:embed="rId11"/>
                    <a:stretch>
                      <a:fillRect/>
                    </a:stretch>
                  </pic:blipFill>
                  <pic:spPr>
                    <a:xfrm>
                      <a:off x="0" y="0"/>
                      <a:ext cx="5760720" cy="2770079"/>
                    </a:xfrm>
                    <a:prstGeom prst="rect"/>
                  </pic:spPr>
                </pic:pic>
              </a:graphicData>
            </a:graphic>
          </wp:inline>
        </w:drawing>
      </w:r>
    </w:p>
    <w:p>
      <w:pPr>
        <w:keepNext w:val="0"/>
        <w:jc w:val="center"/>
      </w:pPr>
      <w:r>
        <w:rPr>
          <w:b w:val="0"/>
          <w:i/>
          <w:sz w:val="18"/>
        </w:rPr>
        <w:t>Fig. 2. Improved, unchanged, and harmed queries among active BiblioGuard decisions.</w:t>
      </w:r>
    </w:p>
    <w:p>
      <w:pPr>
        <w:pStyle w:val="Heading2"/>
      </w:pPr>
      <w:r>
        <w:t>6.3. Risk–coverage and repeated folds</w:t>
      </w:r>
    </w:p>
    <w:tbl>
      <w:tblPr>
        <w:tblStyle w:val="TableGrid"/>
        <w:tblW w:type="auto" w:w="0"/>
        <w:tblLayout w:type="autofit"/>
        <w:tblLook w:firstColumn="1" w:firstRow="1" w:lastColumn="0" w:lastRow="0" w:noHBand="0" w:noVBand="1" w:val="04A0"/>
      </w:tblPr>
      <w:tblGrid>
        <w:gridCol w:w="2498"/>
        <w:gridCol w:w="2498"/>
        <w:gridCol w:w="2498"/>
        <w:gridCol w:w="2498"/>
      </w:tblGrid>
      <w:tr>
        <w:trPr>
          <w:tblHeader/>
        </w:trPr>
        <w:tc>
          <w:tcPr>
            <w:tcW w:type="dxa" w:w="2498"/>
            <w:vAlign w:val="center"/>
          </w:tcPr>
          <w:p>
            <w:r>
              <w:rPr>
                <w:b/>
                <w:sz w:val="15"/>
              </w:rPr>
              <w:t>Penalty multiplier</w:t>
            </w:r>
          </w:p>
        </w:tc>
        <w:tc>
          <w:tcPr>
            <w:tcW w:type="dxa" w:w="2498"/>
            <w:vAlign w:val="center"/>
          </w:tcPr>
          <w:p>
            <w:r>
              <w:rPr>
                <w:b/>
                <w:sz w:val="15"/>
              </w:rPr>
              <w:t>Coverage</w:t>
            </w:r>
          </w:p>
        </w:tc>
        <w:tc>
          <w:tcPr>
            <w:tcW w:type="dxa" w:w="2498"/>
            <w:vAlign w:val="center"/>
          </w:tcPr>
          <w:p>
            <w:r>
              <w:rPr>
                <w:b/>
                <w:sz w:val="15"/>
              </w:rPr>
              <w:t>Mean gain</w:t>
            </w:r>
          </w:p>
        </w:tc>
        <w:tc>
          <w:tcPr>
            <w:tcW w:type="dxa" w:w="2498"/>
            <w:vAlign w:val="center"/>
          </w:tcPr>
          <w:p>
            <w:r>
              <w:rPr>
                <w:b/>
                <w:sz w:val="15"/>
              </w:rPr>
              <w:t>Harmed active queries</w:t>
            </w:r>
          </w:p>
        </w:tc>
      </w:tr>
      <w:tr>
        <w:trPr>
          <w:cantSplit/>
        </w:trPr>
        <w:tc>
          <w:tcPr>
            <w:tcW w:type="dxa" w:w="2498"/>
            <w:vAlign w:val="center"/>
          </w:tcPr>
          <w:p>
            <w:r>
              <w:rPr>
                <w:sz w:val="15"/>
              </w:rPr>
              <w:t>0.00</w:t>
            </w:r>
          </w:p>
        </w:tc>
        <w:tc>
          <w:tcPr>
            <w:tcW w:type="dxa" w:w="2498"/>
            <w:vAlign w:val="center"/>
          </w:tcPr>
          <w:p>
            <w:r>
              <w:rPr>
                <w:sz w:val="15"/>
              </w:rPr>
              <w:t>100.0%</w:t>
            </w:r>
          </w:p>
        </w:tc>
        <w:tc>
          <w:tcPr>
            <w:tcW w:type="dxa" w:w="2498"/>
            <w:vAlign w:val="center"/>
          </w:tcPr>
          <w:p>
            <w:r>
              <w:rPr>
                <w:sz w:val="15"/>
              </w:rPr>
              <w:t>+0.0443</w:t>
            </w:r>
          </w:p>
        </w:tc>
        <w:tc>
          <w:tcPr>
            <w:tcW w:type="dxa" w:w="2498"/>
            <w:vAlign w:val="center"/>
          </w:tcPr>
          <w:p>
            <w:r>
              <w:rPr>
                <w:sz w:val="15"/>
              </w:rPr>
              <w:t>138</w:t>
            </w:r>
          </w:p>
        </w:tc>
      </w:tr>
      <w:tr>
        <w:trPr>
          <w:cantSplit/>
        </w:trPr>
        <w:tc>
          <w:tcPr>
            <w:tcW w:type="dxa" w:w="2498"/>
            <w:vAlign w:val="center"/>
          </w:tcPr>
          <w:p>
            <w:r>
              <w:rPr>
                <w:sz w:val="15"/>
              </w:rPr>
              <w:t>0.25</w:t>
            </w:r>
          </w:p>
        </w:tc>
        <w:tc>
          <w:tcPr>
            <w:tcW w:type="dxa" w:w="2498"/>
            <w:vAlign w:val="center"/>
          </w:tcPr>
          <w:p>
            <w:r>
              <w:rPr>
                <w:sz w:val="15"/>
              </w:rPr>
              <w:t>99.2%</w:t>
            </w:r>
          </w:p>
        </w:tc>
        <w:tc>
          <w:tcPr>
            <w:tcW w:type="dxa" w:w="2498"/>
            <w:vAlign w:val="center"/>
          </w:tcPr>
          <w:p>
            <w:r>
              <w:rPr>
                <w:sz w:val="15"/>
              </w:rPr>
              <w:t>+0.0433</w:t>
            </w:r>
          </w:p>
        </w:tc>
        <w:tc>
          <w:tcPr>
            <w:tcW w:type="dxa" w:w="2498"/>
            <w:vAlign w:val="center"/>
          </w:tcPr>
          <w:p>
            <w:r>
              <w:rPr>
                <w:sz w:val="15"/>
              </w:rPr>
              <w:t>133</w:t>
            </w:r>
          </w:p>
        </w:tc>
      </w:tr>
      <w:tr>
        <w:trPr>
          <w:cantSplit/>
        </w:trPr>
        <w:tc>
          <w:tcPr>
            <w:tcW w:type="dxa" w:w="2498"/>
            <w:vAlign w:val="center"/>
          </w:tcPr>
          <w:p>
            <w:r>
              <w:rPr>
                <w:sz w:val="15"/>
              </w:rPr>
              <w:t>0.50</w:t>
            </w:r>
          </w:p>
        </w:tc>
        <w:tc>
          <w:tcPr>
            <w:tcW w:type="dxa" w:w="2498"/>
            <w:vAlign w:val="center"/>
          </w:tcPr>
          <w:p>
            <w:r>
              <w:rPr>
                <w:sz w:val="15"/>
              </w:rPr>
              <w:t>94.4%</w:t>
            </w:r>
          </w:p>
        </w:tc>
        <w:tc>
          <w:tcPr>
            <w:tcW w:type="dxa" w:w="2498"/>
            <w:vAlign w:val="center"/>
          </w:tcPr>
          <w:p>
            <w:r>
              <w:rPr>
                <w:sz w:val="15"/>
              </w:rPr>
              <w:t>+0.0403</w:t>
            </w:r>
          </w:p>
        </w:tc>
        <w:tc>
          <w:tcPr>
            <w:tcW w:type="dxa" w:w="2498"/>
            <w:vAlign w:val="center"/>
          </w:tcPr>
          <w:p>
            <w:r>
              <w:rPr>
                <w:sz w:val="15"/>
              </w:rPr>
              <w:t>129</w:t>
            </w:r>
          </w:p>
        </w:tc>
      </w:tr>
      <w:tr>
        <w:trPr>
          <w:cantSplit/>
        </w:trPr>
        <w:tc>
          <w:tcPr>
            <w:tcW w:type="dxa" w:w="2498"/>
            <w:vAlign w:val="center"/>
          </w:tcPr>
          <w:p>
            <w:r>
              <w:rPr>
                <w:sz w:val="15"/>
              </w:rPr>
              <w:t>0.75</w:t>
            </w:r>
          </w:p>
        </w:tc>
        <w:tc>
          <w:tcPr>
            <w:tcW w:type="dxa" w:w="2498"/>
            <w:vAlign w:val="center"/>
          </w:tcPr>
          <w:p>
            <w:r>
              <w:rPr>
                <w:sz w:val="15"/>
              </w:rPr>
              <w:t>80.3%</w:t>
            </w:r>
          </w:p>
        </w:tc>
        <w:tc>
          <w:tcPr>
            <w:tcW w:type="dxa" w:w="2498"/>
            <w:vAlign w:val="center"/>
          </w:tcPr>
          <w:p>
            <w:r>
              <w:rPr>
                <w:sz w:val="15"/>
              </w:rPr>
              <w:t>+0.0326</w:t>
            </w:r>
          </w:p>
        </w:tc>
        <w:tc>
          <w:tcPr>
            <w:tcW w:type="dxa" w:w="2498"/>
            <w:vAlign w:val="center"/>
          </w:tcPr>
          <w:p>
            <w:r>
              <w:rPr>
                <w:sz w:val="15"/>
              </w:rPr>
              <w:t>109</w:t>
            </w:r>
          </w:p>
        </w:tc>
      </w:tr>
      <w:tr>
        <w:trPr>
          <w:cantSplit/>
        </w:trPr>
        <w:tc>
          <w:tcPr>
            <w:tcW w:type="dxa" w:w="2498"/>
            <w:vAlign w:val="center"/>
          </w:tcPr>
          <w:p>
            <w:r>
              <w:rPr>
                <w:sz w:val="15"/>
              </w:rPr>
              <w:t>1.00</w:t>
            </w:r>
          </w:p>
        </w:tc>
        <w:tc>
          <w:tcPr>
            <w:tcW w:type="dxa" w:w="2498"/>
            <w:vAlign w:val="center"/>
          </w:tcPr>
          <w:p>
            <w:r>
              <w:rPr>
                <w:sz w:val="15"/>
              </w:rPr>
              <w:t>49.3%</w:t>
            </w:r>
          </w:p>
        </w:tc>
        <w:tc>
          <w:tcPr>
            <w:tcW w:type="dxa" w:w="2498"/>
            <w:vAlign w:val="center"/>
          </w:tcPr>
          <w:p>
            <w:r>
              <w:rPr>
                <w:sz w:val="15"/>
              </w:rPr>
              <w:t>+0.0179</w:t>
            </w:r>
          </w:p>
        </w:tc>
        <w:tc>
          <w:tcPr>
            <w:tcW w:type="dxa" w:w="2498"/>
            <w:vAlign w:val="center"/>
          </w:tcPr>
          <w:p>
            <w:r>
              <w:rPr>
                <w:sz w:val="15"/>
              </w:rPr>
              <w:t>62</w:t>
            </w:r>
          </w:p>
        </w:tc>
      </w:tr>
      <w:tr>
        <w:trPr>
          <w:cantSplit/>
        </w:trPr>
        <w:tc>
          <w:tcPr>
            <w:tcW w:type="dxa" w:w="2498"/>
            <w:vAlign w:val="center"/>
          </w:tcPr>
          <w:p>
            <w:r>
              <w:rPr>
                <w:sz w:val="15"/>
              </w:rPr>
              <w:t>1.25</w:t>
            </w:r>
          </w:p>
        </w:tc>
        <w:tc>
          <w:tcPr>
            <w:tcW w:type="dxa" w:w="2498"/>
            <w:vAlign w:val="center"/>
          </w:tcPr>
          <w:p>
            <w:r>
              <w:rPr>
                <w:sz w:val="15"/>
              </w:rPr>
              <w:t>18.3%</w:t>
            </w:r>
          </w:p>
        </w:tc>
        <w:tc>
          <w:tcPr>
            <w:tcW w:type="dxa" w:w="2498"/>
            <w:vAlign w:val="center"/>
          </w:tcPr>
          <w:p>
            <w:r>
              <w:rPr>
                <w:sz w:val="15"/>
              </w:rPr>
              <w:t>+0.0056</w:t>
            </w:r>
          </w:p>
        </w:tc>
        <w:tc>
          <w:tcPr>
            <w:tcW w:type="dxa" w:w="2498"/>
            <w:vAlign w:val="center"/>
          </w:tcPr>
          <w:p>
            <w:r>
              <w:rPr>
                <w:sz w:val="15"/>
              </w:rPr>
              <w:t>28</w:t>
            </w:r>
          </w:p>
        </w:tc>
      </w:tr>
      <w:tr>
        <w:trPr>
          <w:cantSplit/>
        </w:trPr>
        <w:tc>
          <w:tcPr>
            <w:tcW w:type="dxa" w:w="2498"/>
            <w:vAlign w:val="center"/>
          </w:tcPr>
          <w:p>
            <w:r>
              <w:rPr>
                <w:sz w:val="15"/>
              </w:rPr>
              <w:t>1.50</w:t>
            </w:r>
          </w:p>
        </w:tc>
        <w:tc>
          <w:tcPr>
            <w:tcW w:type="dxa" w:w="2498"/>
            <w:vAlign w:val="center"/>
          </w:tcPr>
          <w:p>
            <w:r>
              <w:rPr>
                <w:sz w:val="15"/>
              </w:rPr>
              <w:t>5.2%</w:t>
            </w:r>
          </w:p>
        </w:tc>
        <w:tc>
          <w:tcPr>
            <w:tcW w:type="dxa" w:w="2498"/>
            <w:vAlign w:val="center"/>
          </w:tcPr>
          <w:p>
            <w:r>
              <w:rPr>
                <w:sz w:val="15"/>
              </w:rPr>
              <w:t>+0.0011</w:t>
            </w:r>
          </w:p>
        </w:tc>
        <w:tc>
          <w:tcPr>
            <w:tcW w:type="dxa" w:w="2498"/>
            <w:vAlign w:val="center"/>
          </w:tcPr>
          <w:p>
            <w:r>
              <w:rPr>
                <w:sz w:val="15"/>
              </w:rPr>
              <w:t>9</w:t>
            </w:r>
          </w:p>
        </w:tc>
      </w:tr>
    </w:tbl>
    <w:p>
      <w:pPr>
        <w:spacing w:after="20"/>
      </w:pPr>
    </w:p>
    <w:p>
      <w:pPr>
        <w:keepNext/>
        <w:jc w:val="center"/>
      </w:pPr>
      <w:r>
        <w:drawing>
          <wp:inline xmlns:a="http://schemas.openxmlformats.org/drawingml/2006/main" xmlns:pic="http://schemas.openxmlformats.org/drawingml/2006/picture">
            <wp:extent cx="5303520" cy="3319430"/>
            <wp:docPr id="3" name="Picture 3"/>
            <wp:cNvGraphicFramePr>
              <a:graphicFrameLocks noChangeAspect="1"/>
            </wp:cNvGraphicFramePr>
            <a:graphic>
              <a:graphicData uri="http://schemas.openxmlformats.org/drawingml/2006/picture">
                <pic:pic>
                  <pic:nvPicPr>
                    <pic:cNvPr id="0" name="Fig3_risk_coverage.png"/>
                    <pic:cNvPicPr/>
                  </pic:nvPicPr>
                  <pic:blipFill>
                    <a:blip r:embed="rId12"/>
                    <a:stretch>
                      <a:fillRect/>
                    </a:stretch>
                  </pic:blipFill>
                  <pic:spPr>
                    <a:xfrm>
                      <a:off x="0" y="0"/>
                      <a:ext cx="5303520" cy="3319430"/>
                    </a:xfrm>
                    <a:prstGeom prst="rect"/>
                  </pic:spPr>
                </pic:pic>
              </a:graphicData>
            </a:graphic>
          </wp:inline>
        </w:drawing>
      </w:r>
    </w:p>
    <w:p>
      <w:pPr>
        <w:keepNext w:val="0"/>
        <w:jc w:val="center"/>
      </w:pPr>
      <w:r>
        <w:rPr>
          <w:b w:val="0"/>
          <w:i/>
          <w:sz w:val="18"/>
        </w:rPr>
        <w:t>Fig. 3. SCIDOCS intervention coverage and gain as the pessimism penalty changes.</w:t>
      </w:r>
    </w:p>
    <w:tbl>
      <w:tblPr>
        <w:tblStyle w:val="TableGrid"/>
        <w:tblW w:type="auto" w:w="0"/>
        <w:tblLayout w:type="autofit"/>
        <w:tblLook w:firstColumn="1" w:firstRow="1" w:lastColumn="0" w:lastRow="0" w:noHBand="0" w:noVBand="1" w:val="04A0"/>
      </w:tblPr>
      <w:tblGrid>
        <w:gridCol w:w="2498"/>
        <w:gridCol w:w="2498"/>
        <w:gridCol w:w="2498"/>
        <w:gridCol w:w="2498"/>
      </w:tblGrid>
      <w:tr>
        <w:trPr>
          <w:tblHeader/>
        </w:trPr>
        <w:tc>
          <w:tcPr>
            <w:tcW w:type="dxa" w:w="2498"/>
            <w:vAlign w:val="center"/>
          </w:tcPr>
          <w:p>
            <w:r>
              <w:rPr>
                <w:b/>
                <w:sz w:val="15"/>
              </w:rPr>
              <w:t>Dataset</w:t>
            </w:r>
          </w:p>
        </w:tc>
        <w:tc>
          <w:tcPr>
            <w:tcW w:type="dxa" w:w="2498"/>
            <w:vAlign w:val="center"/>
          </w:tcPr>
          <w:p>
            <w:r>
              <w:rPr>
                <w:b/>
                <w:sz w:val="15"/>
              </w:rPr>
              <w:t>BiblioGuard NDCG@10</w:t>
            </w:r>
          </w:p>
        </w:tc>
        <w:tc>
          <w:tcPr>
            <w:tcW w:type="dxa" w:w="2498"/>
            <w:vAlign w:val="center"/>
          </w:tcPr>
          <w:p>
            <w:r>
              <w:rPr>
                <w:b/>
                <w:sz w:val="15"/>
              </w:rPr>
              <w:t>Gain</w:t>
            </w:r>
          </w:p>
        </w:tc>
        <w:tc>
          <w:tcPr>
            <w:tcW w:type="dxa" w:w="2498"/>
            <w:vAlign w:val="center"/>
          </w:tcPr>
          <w:p>
            <w:r>
              <w:rPr>
                <w:b/>
                <w:sz w:val="15"/>
              </w:rPr>
              <w:t>Active rate</w:t>
            </w:r>
          </w:p>
        </w:tc>
      </w:tr>
      <w:tr>
        <w:trPr>
          <w:cantSplit/>
        </w:trPr>
        <w:tc>
          <w:tcPr>
            <w:tcW w:type="dxa" w:w="2498"/>
            <w:vAlign w:val="center"/>
          </w:tcPr>
          <w:p>
            <w:r>
              <w:rPr>
                <w:sz w:val="15"/>
              </w:rPr>
              <w:t>SCIDOCS</w:t>
            </w:r>
          </w:p>
        </w:tc>
        <w:tc>
          <w:tcPr>
            <w:tcW w:type="dxa" w:w="2498"/>
            <w:vAlign w:val="center"/>
          </w:tcPr>
          <w:p>
            <w:r>
              <w:rPr>
                <w:sz w:val="15"/>
              </w:rPr>
              <w:t>0.2344 ± 0.0009</w:t>
            </w:r>
          </w:p>
        </w:tc>
        <w:tc>
          <w:tcPr>
            <w:tcW w:type="dxa" w:w="2498"/>
            <w:vAlign w:val="center"/>
          </w:tcPr>
          <w:p>
            <w:r>
              <w:rPr>
                <w:sz w:val="15"/>
              </w:rPr>
              <w:t>+0.0180 ± 0.0009</w:t>
            </w:r>
          </w:p>
        </w:tc>
        <w:tc>
          <w:tcPr>
            <w:tcW w:type="dxa" w:w="2498"/>
            <w:vAlign w:val="center"/>
          </w:tcPr>
          <w:p>
            <w:r>
              <w:rPr>
                <w:sz w:val="15"/>
              </w:rPr>
              <w:t>50.1% ± 1.3%</w:t>
            </w:r>
          </w:p>
        </w:tc>
      </w:tr>
      <w:tr>
        <w:trPr>
          <w:cantSplit/>
        </w:trPr>
        <w:tc>
          <w:tcPr>
            <w:tcW w:type="dxa" w:w="2498"/>
            <w:vAlign w:val="center"/>
          </w:tcPr>
          <w:p>
            <w:r>
              <w:rPr>
                <w:sz w:val="15"/>
              </w:rPr>
              <w:t>SciFact</w:t>
            </w:r>
          </w:p>
        </w:tc>
        <w:tc>
          <w:tcPr>
            <w:tcW w:type="dxa" w:w="2498"/>
            <w:vAlign w:val="center"/>
          </w:tcPr>
          <w:p>
            <w:r>
              <w:rPr>
                <w:sz w:val="15"/>
              </w:rPr>
              <w:t>0.6965 ± 0.0051</w:t>
            </w:r>
          </w:p>
        </w:tc>
        <w:tc>
          <w:tcPr>
            <w:tcW w:type="dxa" w:w="2498"/>
            <w:vAlign w:val="center"/>
          </w:tcPr>
          <w:p>
            <w:r>
              <w:rPr>
                <w:sz w:val="15"/>
              </w:rPr>
              <w:t>+0.0000 ± 0.0000</w:t>
            </w:r>
          </w:p>
        </w:tc>
        <w:tc>
          <w:tcPr>
            <w:tcW w:type="dxa" w:w="2498"/>
            <w:vAlign w:val="center"/>
          </w:tcPr>
          <w:p>
            <w:r>
              <w:rPr>
                <w:sz w:val="15"/>
              </w:rPr>
              <w:t>0.0% ± 0.0%</w:t>
            </w:r>
          </w:p>
        </w:tc>
      </w:tr>
      <w:tr>
        <w:trPr>
          <w:cantSplit/>
        </w:trPr>
        <w:tc>
          <w:tcPr>
            <w:tcW w:type="dxa" w:w="2498"/>
            <w:vAlign w:val="center"/>
          </w:tcPr>
          <w:p>
            <w:r>
              <w:rPr>
                <w:sz w:val="15"/>
              </w:rPr>
              <w:t>NFCorpus</w:t>
            </w:r>
          </w:p>
        </w:tc>
        <w:tc>
          <w:tcPr>
            <w:tcW w:type="dxa" w:w="2498"/>
            <w:vAlign w:val="center"/>
          </w:tcPr>
          <w:p>
            <w:r>
              <w:rPr>
                <w:sz w:val="15"/>
              </w:rPr>
              <w:t>0.3436 ± 0.0046</w:t>
            </w:r>
          </w:p>
        </w:tc>
        <w:tc>
          <w:tcPr>
            <w:tcW w:type="dxa" w:w="2498"/>
            <w:vAlign w:val="center"/>
          </w:tcPr>
          <w:p>
            <w:r>
              <w:rPr>
                <w:sz w:val="15"/>
              </w:rPr>
              <w:t>+0.0000 ± 0.0000</w:t>
            </w:r>
          </w:p>
        </w:tc>
        <w:tc>
          <w:tcPr>
            <w:tcW w:type="dxa" w:w="2498"/>
            <w:vAlign w:val="center"/>
          </w:tcPr>
          <w:p>
            <w:r>
              <w:rPr>
                <w:sz w:val="15"/>
              </w:rPr>
              <w:t>0.0% ± 0.0%</w:t>
            </w:r>
          </w:p>
        </w:tc>
      </w:tr>
      <w:tr>
        <w:trPr>
          <w:cantSplit/>
        </w:trPr>
        <w:tc>
          <w:tcPr>
            <w:tcW w:type="dxa" w:w="2498"/>
            <w:vAlign w:val="center"/>
          </w:tcPr>
          <w:p>
            <w:r>
              <w:rPr>
                <w:sz w:val="15"/>
              </w:rPr>
              <w:t>TREC-COVID</w:t>
            </w:r>
          </w:p>
        </w:tc>
        <w:tc>
          <w:tcPr>
            <w:tcW w:type="dxa" w:w="2498"/>
            <w:vAlign w:val="center"/>
          </w:tcPr>
          <w:p>
            <w:r>
              <w:rPr>
                <w:sz w:val="15"/>
              </w:rPr>
              <w:t>0.7578 ± 0.0000</w:t>
            </w:r>
          </w:p>
        </w:tc>
        <w:tc>
          <w:tcPr>
            <w:tcW w:type="dxa" w:w="2498"/>
            <w:vAlign w:val="center"/>
          </w:tcPr>
          <w:p>
            <w:r>
              <w:rPr>
                <w:sz w:val="15"/>
              </w:rPr>
              <w:t>+0.0000 ± 0.0000</w:t>
            </w:r>
          </w:p>
        </w:tc>
        <w:tc>
          <w:tcPr>
            <w:tcW w:type="dxa" w:w="2498"/>
            <w:vAlign w:val="center"/>
          </w:tcPr>
          <w:p>
            <w:r>
              <w:rPr>
                <w:sz w:val="15"/>
              </w:rPr>
              <w:t>0.2% ± 0.6%</w:t>
            </w:r>
          </w:p>
        </w:tc>
      </w:tr>
    </w:tbl>
    <w:p>
      <w:pPr>
        <w:spacing w:after="20"/>
      </w:pPr>
    </w:p>
    <w:p>
      <w:pPr>
        <w:keepNext w:val="0"/>
      </w:pPr>
      <w:r>
        <w:rPr>
          <w:b w:val="0"/>
          <w:i w:val="0"/>
        </w:rPr>
        <w:t>SCIDOCS remains positive across all ten repeated seeds. The other datasets remain conservative, showing that the null activation is not a peculiarity of seed 42.</w:t>
      </w:r>
    </w:p>
    <w:p>
      <w:pPr>
        <w:pStyle w:val="Heading2"/>
      </w:pPr>
      <w:r>
        <w:t>6.4. Feature and neighbourhood ablations</w:t>
      </w:r>
    </w:p>
    <w:tbl>
      <w:tblPr>
        <w:tblStyle w:val="TableGrid"/>
        <w:tblW w:type="auto" w:w="0"/>
        <w:tblLayout w:type="autofit"/>
        <w:tblLook w:firstColumn="1" w:firstRow="1" w:lastColumn="0" w:lastRow="0" w:noHBand="0" w:noVBand="1" w:val="04A0"/>
      </w:tblPr>
      <w:tblGrid>
        <w:gridCol w:w="2498"/>
        <w:gridCol w:w="2498"/>
        <w:gridCol w:w="2498"/>
        <w:gridCol w:w="2498"/>
      </w:tblGrid>
      <w:tr>
        <w:trPr>
          <w:tblHeader/>
        </w:trPr>
        <w:tc>
          <w:tcPr>
            <w:tcW w:type="dxa" w:w="2498"/>
            <w:vAlign w:val="center"/>
          </w:tcPr>
          <w:p>
            <w:r>
              <w:rPr>
                <w:b/>
                <w:sz w:val="15"/>
              </w:rPr>
              <w:t>SCIDOCS setting</w:t>
            </w:r>
          </w:p>
        </w:tc>
        <w:tc>
          <w:tcPr>
            <w:tcW w:type="dxa" w:w="2498"/>
            <w:vAlign w:val="center"/>
          </w:tcPr>
          <w:p>
            <w:r>
              <w:rPr>
                <w:b/>
                <w:sz w:val="15"/>
              </w:rPr>
              <w:t>NDCG@10</w:t>
            </w:r>
          </w:p>
        </w:tc>
        <w:tc>
          <w:tcPr>
            <w:tcW w:type="dxa" w:w="2498"/>
            <w:vAlign w:val="center"/>
          </w:tcPr>
          <w:p>
            <w:r>
              <w:rPr>
                <w:b/>
                <w:sz w:val="15"/>
              </w:rPr>
              <w:t>Gain</w:t>
            </w:r>
          </w:p>
        </w:tc>
        <w:tc>
          <w:tcPr>
            <w:tcW w:type="dxa" w:w="2498"/>
            <w:vAlign w:val="center"/>
          </w:tcPr>
          <w:p>
            <w:r>
              <w:rPr>
                <w:b/>
                <w:sz w:val="15"/>
              </w:rPr>
              <w:t>Active</w:t>
            </w:r>
          </w:p>
        </w:tc>
      </w:tr>
      <w:tr>
        <w:trPr>
          <w:cantSplit/>
        </w:trPr>
        <w:tc>
          <w:tcPr>
            <w:tcW w:type="dxa" w:w="2498"/>
            <w:vAlign w:val="center"/>
          </w:tcPr>
          <w:p>
            <w:r>
              <w:rPr>
                <w:sz w:val="15"/>
              </w:rPr>
              <w:t>Default word+char, k</w:t>
            </w:r>
          </w:p>
        </w:tc>
        <w:tc>
          <w:tcPr>
            <w:tcW w:type="dxa" w:w="2498"/>
            <w:vAlign w:val="center"/>
          </w:tcPr>
          <w:p>
            <w:r>
              <w:rPr>
                <w:sz w:val="15"/>
              </w:rPr>
              <w:t>0.2343</w:t>
            </w:r>
          </w:p>
        </w:tc>
        <w:tc>
          <w:tcPr>
            <w:tcW w:type="dxa" w:w="2498"/>
            <w:vAlign w:val="center"/>
          </w:tcPr>
          <w:p>
            <w:r>
              <w:rPr>
                <w:sz w:val="15"/>
              </w:rPr>
              <w:t>+0.0179</w:t>
            </w:r>
          </w:p>
        </w:tc>
        <w:tc>
          <w:tcPr>
            <w:tcW w:type="dxa" w:w="2498"/>
            <w:vAlign w:val="center"/>
          </w:tcPr>
          <w:p>
            <w:r>
              <w:rPr>
                <w:sz w:val="15"/>
              </w:rPr>
              <w:t>49.3%</w:t>
            </w:r>
          </w:p>
        </w:tc>
      </w:tr>
      <w:tr>
        <w:trPr>
          <w:cantSplit/>
        </w:trPr>
        <w:tc>
          <w:tcPr>
            <w:tcW w:type="dxa" w:w="2498"/>
            <w:vAlign w:val="center"/>
          </w:tcPr>
          <w:p>
            <w:r>
              <w:rPr>
                <w:sz w:val="15"/>
              </w:rPr>
              <w:t>Word only</w:t>
            </w:r>
          </w:p>
        </w:tc>
        <w:tc>
          <w:tcPr>
            <w:tcW w:type="dxa" w:w="2498"/>
            <w:vAlign w:val="center"/>
          </w:tcPr>
          <w:p>
            <w:r>
              <w:rPr>
                <w:sz w:val="15"/>
              </w:rPr>
              <w:t>0.2327</w:t>
            </w:r>
          </w:p>
        </w:tc>
        <w:tc>
          <w:tcPr>
            <w:tcW w:type="dxa" w:w="2498"/>
            <w:vAlign w:val="center"/>
          </w:tcPr>
          <w:p>
            <w:r>
              <w:rPr>
                <w:sz w:val="15"/>
              </w:rPr>
              <w:t>+0.0163</w:t>
            </w:r>
          </w:p>
        </w:tc>
        <w:tc>
          <w:tcPr>
            <w:tcW w:type="dxa" w:w="2498"/>
            <w:vAlign w:val="center"/>
          </w:tcPr>
          <w:p>
            <w:r>
              <w:rPr>
                <w:sz w:val="15"/>
              </w:rPr>
              <w:t>43.5%</w:t>
            </w:r>
          </w:p>
        </w:tc>
      </w:tr>
      <w:tr>
        <w:trPr>
          <w:cantSplit/>
        </w:trPr>
        <w:tc>
          <w:tcPr>
            <w:tcW w:type="dxa" w:w="2498"/>
            <w:vAlign w:val="center"/>
          </w:tcPr>
          <w:p>
            <w:r>
              <w:rPr>
                <w:sz w:val="15"/>
              </w:rPr>
              <w:t>Character only</w:t>
            </w:r>
          </w:p>
        </w:tc>
        <w:tc>
          <w:tcPr>
            <w:tcW w:type="dxa" w:w="2498"/>
            <w:vAlign w:val="center"/>
          </w:tcPr>
          <w:p>
            <w:r>
              <w:rPr>
                <w:sz w:val="15"/>
              </w:rPr>
              <w:t>0.2367</w:t>
            </w:r>
          </w:p>
        </w:tc>
        <w:tc>
          <w:tcPr>
            <w:tcW w:type="dxa" w:w="2498"/>
            <w:vAlign w:val="center"/>
          </w:tcPr>
          <w:p>
            <w:r>
              <w:rPr>
                <w:sz w:val="15"/>
              </w:rPr>
              <w:t>+0.0203</w:t>
            </w:r>
          </w:p>
        </w:tc>
        <w:tc>
          <w:tcPr>
            <w:tcW w:type="dxa" w:w="2498"/>
            <w:vAlign w:val="center"/>
          </w:tcPr>
          <w:p>
            <w:r>
              <w:rPr>
                <w:sz w:val="15"/>
              </w:rPr>
              <w:t>51.5%</w:t>
            </w:r>
          </w:p>
        </w:tc>
      </w:tr>
      <w:tr>
        <w:trPr>
          <w:cantSplit/>
        </w:trPr>
        <w:tc>
          <w:tcPr>
            <w:tcW w:type="dxa" w:w="2498"/>
            <w:vAlign w:val="center"/>
          </w:tcPr>
          <w:p>
            <w:r>
              <w:rPr>
                <w:sz w:val="15"/>
              </w:rPr>
              <w:t>Half k</w:t>
            </w:r>
          </w:p>
        </w:tc>
        <w:tc>
          <w:tcPr>
            <w:tcW w:type="dxa" w:w="2498"/>
            <w:vAlign w:val="center"/>
          </w:tcPr>
          <w:p>
            <w:r>
              <w:rPr>
                <w:sz w:val="15"/>
              </w:rPr>
              <w:t>0.2217</w:t>
            </w:r>
          </w:p>
        </w:tc>
        <w:tc>
          <w:tcPr>
            <w:tcW w:type="dxa" w:w="2498"/>
            <w:vAlign w:val="center"/>
          </w:tcPr>
          <w:p>
            <w:r>
              <w:rPr>
                <w:sz w:val="15"/>
              </w:rPr>
              <w:t>+0.0053</w:t>
            </w:r>
          </w:p>
        </w:tc>
        <w:tc>
          <w:tcPr>
            <w:tcW w:type="dxa" w:w="2498"/>
            <w:vAlign w:val="center"/>
          </w:tcPr>
          <w:p>
            <w:r>
              <w:rPr>
                <w:sz w:val="15"/>
              </w:rPr>
              <w:t>14.5%</w:t>
            </w:r>
          </w:p>
        </w:tc>
      </w:tr>
      <w:tr>
        <w:trPr>
          <w:cantSplit/>
        </w:trPr>
        <w:tc>
          <w:tcPr>
            <w:tcW w:type="dxa" w:w="2498"/>
            <w:vAlign w:val="center"/>
          </w:tcPr>
          <w:p>
            <w:r>
              <w:rPr>
                <w:sz w:val="15"/>
              </w:rPr>
              <w:t>Double k</w:t>
            </w:r>
          </w:p>
        </w:tc>
        <w:tc>
          <w:tcPr>
            <w:tcW w:type="dxa" w:w="2498"/>
            <w:vAlign w:val="center"/>
          </w:tcPr>
          <w:p>
            <w:r>
              <w:rPr>
                <w:sz w:val="15"/>
              </w:rPr>
              <w:t>0.2518</w:t>
            </w:r>
          </w:p>
        </w:tc>
        <w:tc>
          <w:tcPr>
            <w:tcW w:type="dxa" w:w="2498"/>
            <w:vAlign w:val="center"/>
          </w:tcPr>
          <w:p>
            <w:r>
              <w:rPr>
                <w:sz w:val="15"/>
              </w:rPr>
              <w:t>+0.0354</w:t>
            </w:r>
          </w:p>
        </w:tc>
        <w:tc>
          <w:tcPr>
            <w:tcW w:type="dxa" w:w="2498"/>
            <w:vAlign w:val="center"/>
          </w:tcPr>
          <w:p>
            <w:r>
              <w:rPr>
                <w:sz w:val="15"/>
              </w:rPr>
              <w:t>85.4%</w:t>
            </w:r>
          </w:p>
        </w:tc>
      </w:tr>
    </w:tbl>
    <w:p>
      <w:pPr>
        <w:spacing w:after="20"/>
      </w:pPr>
    </w:p>
    <w:p>
      <w:pPr>
        <w:keepNext w:val="0"/>
      </w:pPr>
      <w:r>
        <w:rPr>
          <w:b w:val="0"/>
          <w:i w:val="0"/>
        </w:rPr>
        <w:t>Character-only and double-k variants are stronger on SCIDOCS, but they are reported as post-specified ablations and are not promoted to the primary method. Choosing them after viewing these test outcomes would inflate the result. Future work should tune representation and coverage on a separate development collection.</w:t>
      </w:r>
    </w:p>
    <w:p>
      <w:pPr>
        <w:pStyle w:val="Heading2"/>
      </w:pPr>
      <w:r>
        <w:t>6.5. Official train-to-test transfer</w:t>
      </w:r>
    </w:p>
    <w:tbl>
      <w:tblPr>
        <w:tblStyle w:val="TableGrid"/>
        <w:tblW w:type="auto" w:w="0"/>
        <w:tblLayout w:type="autofit"/>
        <w:tblLook w:firstColumn="1" w:firstRow="1" w:lastColumn="0" w:lastRow="0" w:noHBand="0" w:noVBand="1" w:val="04A0"/>
      </w:tblPr>
      <w:tblGrid>
        <w:gridCol w:w="1249"/>
        <w:gridCol w:w="1249"/>
        <w:gridCol w:w="1249"/>
        <w:gridCol w:w="1249"/>
        <w:gridCol w:w="1249"/>
        <w:gridCol w:w="1249"/>
        <w:gridCol w:w="1249"/>
        <w:gridCol w:w="1249"/>
      </w:tblGrid>
      <w:tr>
        <w:trPr>
          <w:tblHeader/>
        </w:trPr>
        <w:tc>
          <w:tcPr>
            <w:tcW w:type="dxa" w:w="1249"/>
            <w:vAlign w:val="center"/>
          </w:tcPr>
          <w:p>
            <w:r>
              <w:rPr>
                <w:b/>
                <w:sz w:val="14"/>
              </w:rPr>
              <w:t>Dataset</w:t>
            </w:r>
          </w:p>
        </w:tc>
        <w:tc>
          <w:tcPr>
            <w:tcW w:type="dxa" w:w="1249"/>
            <w:vAlign w:val="center"/>
          </w:tcPr>
          <w:p>
            <w:r>
              <w:rPr>
                <w:b/>
                <w:sz w:val="14"/>
              </w:rPr>
              <w:t>Train</w:t>
            </w:r>
          </w:p>
        </w:tc>
        <w:tc>
          <w:tcPr>
            <w:tcW w:type="dxa" w:w="1249"/>
            <w:vAlign w:val="center"/>
          </w:tcPr>
          <w:p>
            <w:r>
              <w:rPr>
                <w:b/>
                <w:sz w:val="14"/>
              </w:rPr>
              <w:t>Test</w:t>
            </w:r>
          </w:p>
        </w:tc>
        <w:tc>
          <w:tcPr>
            <w:tcW w:type="dxa" w:w="1249"/>
            <w:vAlign w:val="center"/>
          </w:tcPr>
          <w:p>
            <w:r>
              <w:rPr>
                <w:b/>
                <w:sz w:val="14"/>
              </w:rPr>
              <w:t>Base</w:t>
            </w:r>
          </w:p>
        </w:tc>
        <w:tc>
          <w:tcPr>
            <w:tcW w:type="dxa" w:w="1249"/>
            <w:vAlign w:val="center"/>
          </w:tcPr>
          <w:p>
            <w:r>
              <w:rPr>
                <w:b/>
                <w:sz w:val="14"/>
              </w:rPr>
              <w:t>Fallback</w:t>
            </w:r>
          </w:p>
        </w:tc>
        <w:tc>
          <w:tcPr>
            <w:tcW w:type="dxa" w:w="1249"/>
            <w:vAlign w:val="center"/>
          </w:tcPr>
          <w:p>
            <w:r>
              <w:rPr>
                <w:b/>
                <w:sz w:val="14"/>
              </w:rPr>
              <w:t>BiblioGuard</w:t>
            </w:r>
          </w:p>
        </w:tc>
        <w:tc>
          <w:tcPr>
            <w:tcW w:type="dxa" w:w="1249"/>
            <w:vAlign w:val="center"/>
          </w:tcPr>
          <w:p>
            <w:r>
              <w:rPr>
                <w:b/>
                <w:sz w:val="14"/>
              </w:rPr>
              <w:t>Active</w:t>
            </w:r>
          </w:p>
        </w:tc>
        <w:tc>
          <w:tcPr>
            <w:tcW w:type="dxa" w:w="1249"/>
            <w:vAlign w:val="center"/>
          </w:tcPr>
          <w:p>
            <w:r>
              <w:rPr>
                <w:b/>
                <w:sz w:val="14"/>
              </w:rPr>
              <w:t>I/U/H active</w:t>
            </w:r>
          </w:p>
        </w:tc>
      </w:tr>
      <w:tr>
        <w:trPr>
          <w:cantSplit/>
        </w:trPr>
        <w:tc>
          <w:tcPr>
            <w:tcW w:type="dxa" w:w="1249"/>
            <w:vAlign w:val="center"/>
          </w:tcPr>
          <w:p>
            <w:r>
              <w:rPr>
                <w:sz w:val="14"/>
              </w:rPr>
              <w:t>SciFact</w:t>
            </w:r>
          </w:p>
        </w:tc>
        <w:tc>
          <w:tcPr>
            <w:tcW w:type="dxa" w:w="1249"/>
            <w:vAlign w:val="center"/>
          </w:tcPr>
          <w:p>
            <w:r>
              <w:rPr>
                <w:sz w:val="14"/>
              </w:rPr>
              <w:t>809</w:t>
            </w:r>
          </w:p>
        </w:tc>
        <w:tc>
          <w:tcPr>
            <w:tcW w:type="dxa" w:w="1249"/>
            <w:vAlign w:val="center"/>
          </w:tcPr>
          <w:p>
            <w:r>
              <w:rPr>
                <w:sz w:val="14"/>
              </w:rPr>
              <w:t>300</w:t>
            </w:r>
          </w:p>
        </w:tc>
        <w:tc>
          <w:tcPr>
            <w:tcW w:type="dxa" w:w="1249"/>
            <w:vAlign w:val="center"/>
          </w:tcPr>
          <w:p>
            <w:r>
              <w:rPr>
                <w:sz w:val="14"/>
              </w:rPr>
              <w:t>BGE-Dense</w:t>
            </w:r>
          </w:p>
        </w:tc>
        <w:tc>
          <w:tcPr>
            <w:tcW w:type="dxa" w:w="1249"/>
            <w:vAlign w:val="center"/>
          </w:tcPr>
          <w:p>
            <w:r>
              <w:rPr>
                <w:sz w:val="14"/>
              </w:rPr>
              <w:t>0.7127</w:t>
            </w:r>
          </w:p>
        </w:tc>
        <w:tc>
          <w:tcPr>
            <w:tcW w:type="dxa" w:w="1249"/>
            <w:vAlign w:val="center"/>
          </w:tcPr>
          <w:p>
            <w:r>
              <w:rPr>
                <w:sz w:val="14"/>
              </w:rPr>
              <w:t>0.7127</w:t>
            </w:r>
          </w:p>
        </w:tc>
        <w:tc>
          <w:tcPr>
            <w:tcW w:type="dxa" w:w="1249"/>
            <w:vAlign w:val="center"/>
          </w:tcPr>
          <w:p>
            <w:r>
              <w:rPr>
                <w:sz w:val="14"/>
              </w:rPr>
              <w:t>0.0%</w:t>
            </w:r>
          </w:p>
        </w:tc>
        <w:tc>
          <w:tcPr>
            <w:tcW w:type="dxa" w:w="1249"/>
            <w:vAlign w:val="center"/>
          </w:tcPr>
          <w:p>
            <w:r>
              <w:rPr>
                <w:sz w:val="14"/>
              </w:rPr>
              <w:t>0/0/0</w:t>
            </w:r>
          </w:p>
        </w:tc>
      </w:tr>
      <w:tr>
        <w:trPr>
          <w:cantSplit/>
        </w:trPr>
        <w:tc>
          <w:tcPr>
            <w:tcW w:type="dxa" w:w="1249"/>
            <w:vAlign w:val="center"/>
          </w:tcPr>
          <w:p>
            <w:r>
              <w:rPr>
                <w:sz w:val="14"/>
              </w:rPr>
              <w:t>NFCorpus</w:t>
            </w:r>
          </w:p>
        </w:tc>
        <w:tc>
          <w:tcPr>
            <w:tcW w:type="dxa" w:w="1249"/>
            <w:vAlign w:val="center"/>
          </w:tcPr>
          <w:p>
            <w:r>
              <w:rPr>
                <w:sz w:val="14"/>
              </w:rPr>
              <w:t>2590</w:t>
            </w:r>
          </w:p>
        </w:tc>
        <w:tc>
          <w:tcPr>
            <w:tcW w:type="dxa" w:w="1249"/>
            <w:vAlign w:val="center"/>
          </w:tcPr>
          <w:p>
            <w:r>
              <w:rPr>
                <w:sz w:val="14"/>
              </w:rPr>
              <w:t>323</w:t>
            </w:r>
          </w:p>
        </w:tc>
        <w:tc>
          <w:tcPr>
            <w:tcW w:type="dxa" w:w="1249"/>
            <w:vAlign w:val="center"/>
          </w:tcPr>
          <w:p>
            <w:r>
              <w:rPr>
                <w:sz w:val="14"/>
              </w:rPr>
              <w:t>BGE-Hybrid</w:t>
            </w:r>
          </w:p>
        </w:tc>
        <w:tc>
          <w:tcPr>
            <w:tcW w:type="dxa" w:w="1249"/>
            <w:vAlign w:val="center"/>
          </w:tcPr>
          <w:p>
            <w:r>
              <w:rPr>
                <w:sz w:val="14"/>
              </w:rPr>
              <w:t>0.3487</w:t>
            </w:r>
          </w:p>
        </w:tc>
        <w:tc>
          <w:tcPr>
            <w:tcW w:type="dxa" w:w="1249"/>
            <w:vAlign w:val="center"/>
          </w:tcPr>
          <w:p>
            <w:r>
              <w:rPr>
                <w:sz w:val="14"/>
              </w:rPr>
              <w:t>0.3487</w:t>
            </w:r>
          </w:p>
        </w:tc>
        <w:tc>
          <w:tcPr>
            <w:tcW w:type="dxa" w:w="1249"/>
            <w:vAlign w:val="center"/>
          </w:tcPr>
          <w:p>
            <w:r>
              <w:rPr>
                <w:sz w:val="14"/>
              </w:rPr>
              <w:t>0.3%</w:t>
            </w:r>
          </w:p>
        </w:tc>
        <w:tc>
          <w:tcPr>
            <w:tcW w:type="dxa" w:w="1249"/>
            <w:vAlign w:val="center"/>
          </w:tcPr>
          <w:p>
            <w:r>
              <w:rPr>
                <w:sz w:val="14"/>
              </w:rPr>
              <w:t>0/1/0</w:t>
            </w:r>
          </w:p>
        </w:tc>
      </w:tr>
    </w:tbl>
    <w:p>
      <w:pPr>
        <w:spacing w:after="20"/>
      </w:pPr>
    </w:p>
    <w:p>
      <w:pPr>
        <w:keepNext w:val="0"/>
      </w:pPr>
      <w:r>
        <w:rPr>
          <w:b w:val="0"/>
          <w:i w:val="0"/>
        </w:rPr>
        <w:t>The strict gate activates on 0.0% of SciFact and 0.3% of NFCorpus test queries, with zero mean gain in both. The uncorrected gate activates more often, and the local mean can transfer negatively on NFCorpus. These findings support abstention under weak evidence but also show that the learned intervention does not yet generalise broadly.</w:t>
      </w:r>
    </w:p>
    <w:p>
      <w:pPr>
        <w:pStyle w:val="Heading2"/>
      </w:pPr>
      <w:r>
        <w:t>6.6. Legacy PAV routing baseline</w:t>
      </w:r>
    </w:p>
    <w:tbl>
      <w:tblPr>
        <w:tblStyle w:val="TableGrid"/>
        <w:tblW w:type="auto" w:w="0"/>
        <w:tblLayout w:type="autofit"/>
        <w:tblLook w:firstColumn="1" w:firstRow="1" w:lastColumn="0" w:lastRow="0" w:noHBand="0" w:noVBand="1" w:val="04A0"/>
      </w:tblPr>
      <w:tblGrid>
        <w:gridCol w:w="1999"/>
        <w:gridCol w:w="1999"/>
        <w:gridCol w:w="1999"/>
        <w:gridCol w:w="1999"/>
        <w:gridCol w:w="1999"/>
      </w:tblGrid>
      <w:tr>
        <w:trPr>
          <w:tblHeader/>
        </w:trPr>
        <w:tc>
          <w:tcPr>
            <w:tcW w:type="dxa" w:w="1999"/>
            <w:vAlign w:val="center"/>
          </w:tcPr>
          <w:p>
            <w:r>
              <w:rPr>
                <w:b/>
                <w:sz w:val="15"/>
              </w:rPr>
              <w:t>Dataset</w:t>
            </w:r>
          </w:p>
        </w:tc>
        <w:tc>
          <w:tcPr>
            <w:tcW w:type="dxa" w:w="1999"/>
            <w:vAlign w:val="center"/>
          </w:tcPr>
          <w:p>
            <w:r>
              <w:rPr>
                <w:b/>
                <w:sz w:val="15"/>
              </w:rPr>
              <w:t>Best fixed</w:t>
            </w:r>
          </w:p>
        </w:tc>
        <w:tc>
          <w:tcPr>
            <w:tcW w:type="dxa" w:w="1999"/>
            <w:vAlign w:val="center"/>
          </w:tcPr>
          <w:p>
            <w:r>
              <w:rPr>
                <w:b/>
                <w:sz w:val="15"/>
              </w:rPr>
              <w:t>PAV routed</w:t>
            </w:r>
          </w:p>
        </w:tc>
        <w:tc>
          <w:tcPr>
            <w:tcW w:type="dxa" w:w="1999"/>
            <w:vAlign w:val="center"/>
          </w:tcPr>
          <w:p>
            <w:r>
              <w:rPr>
                <w:b/>
                <w:sz w:val="15"/>
              </w:rPr>
              <w:t>Macro-F1</w:t>
            </w:r>
          </w:p>
        </w:tc>
        <w:tc>
          <w:tcPr>
            <w:tcW w:type="dxa" w:w="1999"/>
            <w:vAlign w:val="center"/>
          </w:tcPr>
          <w:p>
            <w:r>
              <w:rPr>
                <w:b/>
                <w:sz w:val="15"/>
              </w:rPr>
              <w:t>Kappa</w:t>
            </w:r>
          </w:p>
        </w:tc>
      </w:tr>
      <w:tr>
        <w:trPr>
          <w:cantSplit/>
        </w:trPr>
        <w:tc>
          <w:tcPr>
            <w:tcW w:type="dxa" w:w="1999"/>
            <w:vAlign w:val="center"/>
          </w:tcPr>
          <w:p>
            <w:r>
              <w:rPr>
                <w:sz w:val="15"/>
              </w:rPr>
              <w:t>SCIDOCS</w:t>
            </w:r>
          </w:p>
        </w:tc>
        <w:tc>
          <w:tcPr>
            <w:tcW w:type="dxa" w:w="1999"/>
            <w:vAlign w:val="center"/>
          </w:tcPr>
          <w:p>
            <w:r>
              <w:rPr>
                <w:sz w:val="15"/>
              </w:rPr>
              <w:t>0.1974</w:t>
            </w:r>
          </w:p>
        </w:tc>
        <w:tc>
          <w:tcPr>
            <w:tcW w:type="dxa" w:w="1999"/>
            <w:vAlign w:val="center"/>
          </w:tcPr>
          <w:p>
            <w:r>
              <w:rPr>
                <w:sz w:val="15"/>
              </w:rPr>
              <w:t>0.1896</w:t>
            </w:r>
          </w:p>
        </w:tc>
        <w:tc>
          <w:tcPr>
            <w:tcW w:type="dxa" w:w="1999"/>
            <w:vAlign w:val="center"/>
          </w:tcPr>
          <w:p>
            <w:r>
              <w:rPr>
                <w:sz w:val="15"/>
              </w:rPr>
              <w:t>0.303</w:t>
            </w:r>
          </w:p>
        </w:tc>
        <w:tc>
          <w:tcPr>
            <w:tcW w:type="dxa" w:w="1999"/>
            <w:vAlign w:val="center"/>
          </w:tcPr>
          <w:p>
            <w:r>
              <w:rPr>
                <w:sz w:val="15"/>
              </w:rPr>
              <w:t>0.027</w:t>
            </w:r>
          </w:p>
        </w:tc>
      </w:tr>
      <w:tr>
        <w:trPr>
          <w:cantSplit/>
        </w:trPr>
        <w:tc>
          <w:tcPr>
            <w:tcW w:type="dxa" w:w="1999"/>
            <w:vAlign w:val="center"/>
          </w:tcPr>
          <w:p>
            <w:r>
              <w:rPr>
                <w:sz w:val="15"/>
              </w:rPr>
              <w:t>SciFact</w:t>
            </w:r>
          </w:p>
        </w:tc>
        <w:tc>
          <w:tcPr>
            <w:tcW w:type="dxa" w:w="1999"/>
            <w:vAlign w:val="center"/>
          </w:tcPr>
          <w:p>
            <w:r>
              <w:rPr>
                <w:sz w:val="15"/>
              </w:rPr>
              <w:t>0.7081</w:t>
            </w:r>
          </w:p>
        </w:tc>
        <w:tc>
          <w:tcPr>
            <w:tcW w:type="dxa" w:w="1999"/>
            <w:vAlign w:val="center"/>
          </w:tcPr>
          <w:p>
            <w:r>
              <w:rPr>
                <w:sz w:val="15"/>
              </w:rPr>
              <w:t>0.7042</w:t>
            </w:r>
          </w:p>
        </w:tc>
        <w:tc>
          <w:tcPr>
            <w:tcW w:type="dxa" w:w="1999"/>
            <w:vAlign w:val="center"/>
          </w:tcPr>
          <w:p>
            <w:r>
              <w:rPr>
                <w:sz w:val="15"/>
              </w:rPr>
              <w:t>0.318</w:t>
            </w:r>
          </w:p>
        </w:tc>
        <w:tc>
          <w:tcPr>
            <w:tcW w:type="dxa" w:w="1999"/>
            <w:vAlign w:val="center"/>
          </w:tcPr>
          <w:p>
            <w:r>
              <w:rPr>
                <w:sz w:val="15"/>
              </w:rPr>
              <w:t>-0.005</w:t>
            </w:r>
          </w:p>
        </w:tc>
      </w:tr>
      <w:tr>
        <w:trPr>
          <w:cantSplit/>
        </w:trPr>
        <w:tc>
          <w:tcPr>
            <w:tcW w:type="dxa" w:w="1999"/>
            <w:vAlign w:val="center"/>
          </w:tcPr>
          <w:p>
            <w:r>
              <w:rPr>
                <w:sz w:val="15"/>
              </w:rPr>
              <w:t>NFCorpus</w:t>
            </w:r>
          </w:p>
        </w:tc>
        <w:tc>
          <w:tcPr>
            <w:tcW w:type="dxa" w:w="1999"/>
            <w:vAlign w:val="center"/>
          </w:tcPr>
          <w:p>
            <w:r>
              <w:rPr>
                <w:sz w:val="15"/>
              </w:rPr>
              <w:t>0.3391</w:t>
            </w:r>
          </w:p>
        </w:tc>
        <w:tc>
          <w:tcPr>
            <w:tcW w:type="dxa" w:w="1999"/>
            <w:vAlign w:val="center"/>
          </w:tcPr>
          <w:p>
            <w:r>
              <w:rPr>
                <w:sz w:val="15"/>
              </w:rPr>
              <w:t>0.3326</w:t>
            </w:r>
          </w:p>
        </w:tc>
        <w:tc>
          <w:tcPr>
            <w:tcW w:type="dxa" w:w="1999"/>
            <w:vAlign w:val="center"/>
          </w:tcPr>
          <w:p>
            <w:r>
              <w:rPr>
                <w:sz w:val="15"/>
              </w:rPr>
              <w:t>0.293</w:t>
            </w:r>
          </w:p>
        </w:tc>
        <w:tc>
          <w:tcPr>
            <w:tcW w:type="dxa" w:w="1999"/>
            <w:vAlign w:val="center"/>
          </w:tcPr>
          <w:p>
            <w:r>
              <w:rPr>
                <w:sz w:val="15"/>
              </w:rPr>
              <w:t>0.003</w:t>
            </w:r>
          </w:p>
        </w:tc>
      </w:tr>
      <w:tr>
        <w:trPr>
          <w:cantSplit/>
        </w:trPr>
        <w:tc>
          <w:tcPr>
            <w:tcW w:type="dxa" w:w="1999"/>
            <w:vAlign w:val="center"/>
          </w:tcPr>
          <w:p>
            <w:r>
              <w:rPr>
                <w:sz w:val="15"/>
              </w:rPr>
              <w:t>TREC-COVID</w:t>
            </w:r>
          </w:p>
        </w:tc>
        <w:tc>
          <w:tcPr>
            <w:tcW w:type="dxa" w:w="1999"/>
            <w:vAlign w:val="center"/>
          </w:tcPr>
          <w:p>
            <w:r>
              <w:rPr>
                <w:sz w:val="15"/>
              </w:rPr>
              <w:t>0.6743</w:t>
            </w:r>
          </w:p>
        </w:tc>
        <w:tc>
          <w:tcPr>
            <w:tcW w:type="dxa" w:w="1999"/>
            <w:vAlign w:val="center"/>
          </w:tcPr>
          <w:p>
            <w:r>
              <w:rPr>
                <w:sz w:val="15"/>
              </w:rPr>
              <w:t>0.6702</w:t>
            </w:r>
          </w:p>
        </w:tc>
        <w:tc>
          <w:tcPr>
            <w:tcW w:type="dxa" w:w="1999"/>
            <w:vAlign w:val="center"/>
          </w:tcPr>
          <w:p>
            <w:r>
              <w:rPr>
                <w:sz w:val="15"/>
              </w:rPr>
              <w:t>0.285</w:t>
            </w:r>
          </w:p>
        </w:tc>
        <w:tc>
          <w:tcPr>
            <w:tcW w:type="dxa" w:w="1999"/>
            <w:vAlign w:val="center"/>
          </w:tcPr>
          <w:p>
            <w:r>
              <w:rPr>
                <w:sz w:val="15"/>
              </w:rPr>
              <w:t>-0.108</w:t>
            </w:r>
          </w:p>
        </w:tc>
      </w:tr>
    </w:tbl>
    <w:p>
      <w:pPr>
        <w:spacing w:after="20"/>
      </w:pPr>
    </w:p>
    <w:p>
      <w:pPr>
        <w:keepNext w:val="0"/>
      </w:pPr>
      <w:r>
        <w:rPr>
          <w:b w:val="0"/>
          <w:i w:val="0"/>
        </w:rPr>
        <w:t>The legacy surface-feature classifier does not reliably beat its best fixed method and has near-zero agreement beyond class imbalance. BiblioGuard differs by estimating paired intervention effects rather than predicting an absolute winning retriever label.</w:t>
      </w:r>
    </w:p>
    <w:p>
      <w:pPr>
        <w:pStyle w:val="Heading2"/>
      </w:pPr>
      <w:r>
        <w:t>6.7. Metadata association diagnostics</w:t>
      </w:r>
    </w:p>
    <w:tbl>
      <w:tblPr>
        <w:tblStyle w:val="TableGrid"/>
        <w:tblW w:type="auto" w:w="0"/>
        <w:tblLayout w:type="autofit"/>
        <w:tblLook w:firstColumn="1" w:firstRow="1" w:lastColumn="0" w:lastRow="0" w:noHBand="0" w:noVBand="1" w:val="04A0"/>
      </w:tblPr>
      <w:tblGrid>
        <w:gridCol w:w="1666"/>
        <w:gridCol w:w="1666"/>
        <w:gridCol w:w="1666"/>
        <w:gridCol w:w="1666"/>
        <w:gridCol w:w="1666"/>
        <w:gridCol w:w="1666"/>
      </w:tblGrid>
      <w:tr>
        <w:trPr>
          <w:tblHeader/>
        </w:trPr>
        <w:tc>
          <w:tcPr>
            <w:tcW w:type="dxa" w:w="1666"/>
            <w:vAlign w:val="center"/>
          </w:tcPr>
          <w:p>
            <w:r>
              <w:rPr>
                <w:b/>
                <w:sz w:val="13"/>
              </w:rPr>
              <w:t>Dataset</w:t>
            </w:r>
          </w:p>
        </w:tc>
        <w:tc>
          <w:tcPr>
            <w:tcW w:type="dxa" w:w="1666"/>
            <w:vAlign w:val="center"/>
          </w:tcPr>
          <w:p>
            <w:r>
              <w:rPr>
                <w:b/>
                <w:sz w:val="13"/>
              </w:rPr>
              <w:t>Positive docs</w:t>
            </w:r>
          </w:p>
        </w:tc>
        <w:tc>
          <w:tcPr>
            <w:tcW w:type="dxa" w:w="1666"/>
            <w:vAlign w:val="center"/>
          </w:tcPr>
          <w:p>
            <w:r>
              <w:rPr>
                <w:b/>
                <w:sz w:val="13"/>
              </w:rPr>
              <w:t>Background docs</w:t>
            </w:r>
          </w:p>
        </w:tc>
        <w:tc>
          <w:tcPr>
            <w:tcW w:type="dxa" w:w="1666"/>
            <w:vAlign w:val="center"/>
          </w:tcPr>
          <w:p>
            <w:r>
              <w:rPr>
                <w:b/>
                <w:sz w:val="13"/>
              </w:rPr>
              <w:t>Citation AUC (95% CI)</w:t>
            </w:r>
          </w:p>
        </w:tc>
        <w:tc>
          <w:tcPr>
            <w:tcW w:type="dxa" w:w="1666"/>
            <w:vAlign w:val="center"/>
          </w:tcPr>
          <w:p>
            <w:r>
              <w:rPr>
                <w:b/>
                <w:sz w:val="13"/>
              </w:rPr>
              <w:t>Median cites P/B</w:t>
            </w:r>
          </w:p>
        </w:tc>
        <w:tc>
          <w:tcPr>
            <w:tcW w:type="dxa" w:w="1666"/>
            <w:vAlign w:val="center"/>
          </w:tcPr>
          <w:p>
            <w:r>
              <w:rPr>
                <w:b/>
                <w:sz w:val="13"/>
              </w:rPr>
              <w:t>Snapshot</w:t>
            </w:r>
          </w:p>
        </w:tc>
      </w:tr>
      <w:tr>
        <w:trPr>
          <w:cantSplit/>
        </w:trPr>
        <w:tc>
          <w:tcPr>
            <w:tcW w:type="dxa" w:w="1666"/>
            <w:vAlign w:val="center"/>
          </w:tcPr>
          <w:p>
            <w:r>
              <w:rPr>
                <w:sz w:val="13"/>
              </w:rPr>
              <w:t>SCIDOCS</w:t>
            </w:r>
          </w:p>
        </w:tc>
        <w:tc>
          <w:tcPr>
            <w:tcW w:type="dxa" w:w="1666"/>
            <w:vAlign w:val="center"/>
          </w:tcPr>
          <w:p>
            <w:r>
              <w:rPr>
                <w:sz w:val="13"/>
              </w:rPr>
              <w:t>4008</w:t>
            </w:r>
          </w:p>
        </w:tc>
        <w:tc>
          <w:tcPr>
            <w:tcW w:type="dxa" w:w="1666"/>
            <w:vAlign w:val="center"/>
          </w:tcPr>
          <w:p>
            <w:r>
              <w:rPr>
                <w:sz w:val="13"/>
              </w:rPr>
              <w:t>21574</w:t>
            </w:r>
          </w:p>
        </w:tc>
        <w:tc>
          <w:tcPr>
            <w:tcW w:type="dxa" w:w="1666"/>
            <w:vAlign w:val="center"/>
          </w:tcPr>
          <w:p>
            <w:r>
              <w:rPr>
                <w:sz w:val="13"/>
              </w:rPr>
              <w:t>0.804 [0.795, 0.812]</w:t>
            </w:r>
          </w:p>
        </w:tc>
        <w:tc>
          <w:tcPr>
            <w:tcW w:type="dxa" w:w="1666"/>
            <w:vAlign w:val="center"/>
          </w:tcPr>
          <w:p>
            <w:r>
              <w:rPr>
                <w:sz w:val="13"/>
              </w:rPr>
              <w:t>566/68</w:t>
            </w:r>
          </w:p>
        </w:tc>
        <w:tc>
          <w:tcPr>
            <w:tcW w:type="dxa" w:w="1666"/>
            <w:vAlign w:val="center"/>
          </w:tcPr>
          <w:p>
            <w:r>
              <w:rPr>
                <w:sz w:val="13"/>
              </w:rPr>
              <w:t>frozen repository snapshot collected during 2025-2026</w:t>
            </w:r>
          </w:p>
        </w:tc>
      </w:tr>
      <w:tr>
        <w:trPr>
          <w:cantSplit/>
        </w:trPr>
        <w:tc>
          <w:tcPr>
            <w:tcW w:type="dxa" w:w="1666"/>
            <w:vAlign w:val="center"/>
          </w:tcPr>
          <w:p>
            <w:r>
              <w:rPr>
                <w:sz w:val="13"/>
              </w:rPr>
              <w:t>SciFact</w:t>
            </w:r>
          </w:p>
        </w:tc>
        <w:tc>
          <w:tcPr>
            <w:tcW w:type="dxa" w:w="1666"/>
            <w:vAlign w:val="center"/>
          </w:tcPr>
          <w:p>
            <w:r>
              <w:rPr>
                <w:sz w:val="13"/>
              </w:rPr>
              <w:t>264</w:t>
            </w:r>
          </w:p>
        </w:tc>
        <w:tc>
          <w:tcPr>
            <w:tcW w:type="dxa" w:w="1666"/>
            <w:vAlign w:val="center"/>
          </w:tcPr>
          <w:p>
            <w:r>
              <w:rPr>
                <w:sz w:val="13"/>
              </w:rPr>
              <w:t>2640</w:t>
            </w:r>
          </w:p>
        </w:tc>
        <w:tc>
          <w:tcPr>
            <w:tcW w:type="dxa" w:w="1666"/>
            <w:vAlign w:val="center"/>
          </w:tcPr>
          <w:p>
            <w:r>
              <w:rPr>
                <w:sz w:val="13"/>
              </w:rPr>
              <w:t>0.589 [0.551, 0.626]</w:t>
            </w:r>
          </w:p>
        </w:tc>
        <w:tc>
          <w:tcPr>
            <w:tcW w:type="dxa" w:w="1666"/>
            <w:vAlign w:val="center"/>
          </w:tcPr>
          <w:p>
            <w:r>
              <w:rPr>
                <w:sz w:val="13"/>
              </w:rPr>
              <w:t>254/173</w:t>
            </w:r>
          </w:p>
        </w:tc>
        <w:tc>
          <w:tcPr>
            <w:tcW w:type="dxa" w:w="1666"/>
            <w:vAlign w:val="center"/>
          </w:tcPr>
          <w:p>
            <w:r>
              <w:rPr>
                <w:sz w:val="13"/>
              </w:rPr>
              <w:t>frozen repository snapshot collected during 2025-2026</w:t>
            </w:r>
          </w:p>
        </w:tc>
      </w:tr>
      <w:tr>
        <w:trPr>
          <w:cantSplit/>
        </w:trPr>
        <w:tc>
          <w:tcPr>
            <w:tcW w:type="dxa" w:w="1666"/>
            <w:vAlign w:val="center"/>
          </w:tcPr>
          <w:p>
            <w:r>
              <w:rPr>
                <w:sz w:val="13"/>
              </w:rPr>
              <w:t>NFCorpus</w:t>
            </w:r>
          </w:p>
        </w:tc>
        <w:tc>
          <w:tcPr>
            <w:tcW w:type="dxa" w:w="1666"/>
            <w:vAlign w:val="center"/>
          </w:tcPr>
          <w:p>
            <w:r>
              <w:rPr>
                <w:sz w:val="13"/>
              </w:rPr>
              <w:t>2943</w:t>
            </w:r>
          </w:p>
        </w:tc>
        <w:tc>
          <w:tcPr>
            <w:tcW w:type="dxa" w:w="1666"/>
            <w:vAlign w:val="center"/>
          </w:tcPr>
          <w:p>
            <w:r>
              <w:rPr>
                <w:sz w:val="13"/>
              </w:rPr>
              <w:t>473</w:t>
            </w:r>
          </w:p>
        </w:tc>
        <w:tc>
          <w:tcPr>
            <w:tcW w:type="dxa" w:w="1666"/>
            <w:vAlign w:val="center"/>
          </w:tcPr>
          <w:p>
            <w:r>
              <w:rPr>
                <w:sz w:val="13"/>
              </w:rPr>
              <w:t>0.498 [0.470, 0.526]</w:t>
            </w:r>
          </w:p>
        </w:tc>
        <w:tc>
          <w:tcPr>
            <w:tcW w:type="dxa" w:w="1666"/>
            <w:vAlign w:val="center"/>
          </w:tcPr>
          <w:p>
            <w:r>
              <w:rPr>
                <w:sz w:val="13"/>
              </w:rPr>
              <w:t>6/5</w:t>
            </w:r>
          </w:p>
        </w:tc>
        <w:tc>
          <w:tcPr>
            <w:tcW w:type="dxa" w:w="1666"/>
            <w:vAlign w:val="center"/>
          </w:tcPr>
          <w:p>
            <w:r>
              <w:rPr>
                <w:sz w:val="13"/>
              </w:rPr>
              <w:t>frozen repository snapshot collected during 2025-2026</w:t>
            </w:r>
          </w:p>
        </w:tc>
      </w:tr>
      <w:tr>
        <w:trPr>
          <w:cantSplit/>
        </w:trPr>
        <w:tc>
          <w:tcPr>
            <w:tcW w:type="dxa" w:w="1666"/>
            <w:vAlign w:val="center"/>
          </w:tcPr>
          <w:p>
            <w:r>
              <w:rPr>
                <w:sz w:val="13"/>
              </w:rPr>
              <w:t>TREC-COVID</w:t>
            </w:r>
          </w:p>
        </w:tc>
        <w:tc>
          <w:tcPr>
            <w:tcW w:type="dxa" w:w="1666"/>
            <w:vAlign w:val="center"/>
          </w:tcPr>
          <w:p>
            <w:r>
              <w:rPr>
                <w:sz w:val="13"/>
              </w:rPr>
              <w:t>17537</w:t>
            </w:r>
          </w:p>
        </w:tc>
        <w:tc>
          <w:tcPr>
            <w:tcW w:type="dxa" w:w="1666"/>
            <w:vAlign w:val="center"/>
          </w:tcPr>
          <w:p>
            <w:r>
              <w:rPr>
                <w:sz w:val="13"/>
              </w:rPr>
              <w:t>25000</w:t>
            </w:r>
          </w:p>
        </w:tc>
        <w:tc>
          <w:tcPr>
            <w:tcW w:type="dxa" w:w="1666"/>
            <w:vAlign w:val="center"/>
          </w:tcPr>
          <w:p>
            <w:r>
              <w:rPr>
                <w:sz w:val="13"/>
              </w:rPr>
              <w:t>0.499 [0.493, 0.505]</w:t>
            </w:r>
          </w:p>
        </w:tc>
        <w:tc>
          <w:tcPr>
            <w:tcW w:type="dxa" w:w="1666"/>
            <w:vAlign w:val="center"/>
          </w:tcPr>
          <w:p>
            <w:r>
              <w:rPr>
                <w:sz w:val="13"/>
              </w:rPr>
              <w:t>6/10</w:t>
            </w:r>
          </w:p>
        </w:tc>
        <w:tc>
          <w:tcPr>
            <w:tcW w:type="dxa" w:w="1666"/>
            <w:vAlign w:val="center"/>
          </w:tcPr>
          <w:p>
            <w:r>
              <w:rPr>
                <w:sz w:val="13"/>
              </w:rPr>
              <w:t>frozen repository snapshot collected during 2025-2026</w:t>
            </w:r>
          </w:p>
        </w:tc>
      </w:tr>
    </w:tbl>
    <w:p>
      <w:pPr>
        <w:spacing w:after="20"/>
      </w:pPr>
    </w:p>
    <w:p>
      <w:pPr>
        <w:keepNext w:val="0"/>
      </w:pPr>
      <w:r>
        <w:rPr>
          <w:b w:val="0"/>
          <w:i w:val="0"/>
        </w:rPr>
        <w:t>The diagnostic is document-level and associative. Positive and background IDs are deduplicated; every dataset uses the same seeded background rule (up to 10:1, capped at 25,000; seed 7). SCIDOCS has a strong citation–relevance association, whereas NFCorpus and TREC-COVID are near chance. This pattern is consistent with, but does not causally explain, where citation intervention is useful. The AUC interval uses the stated Hanley–McNeil large-sample approximation.</w:t>
      </w:r>
    </w:p>
    <w:p>
      <w:pPr>
        <w:pStyle w:val="Heading1"/>
      </w:pPr>
      <w:r>
        <w:t>7. Discussion</w:t>
      </w:r>
    </w:p>
    <w:p>
      <w:pPr>
        <w:pStyle w:val="Heading2"/>
      </w:pPr>
      <w:r>
        <w:t>7.1. Practical interpretation</w:t>
      </w:r>
    </w:p>
    <w:p>
      <w:pPr>
        <w:keepNext w:val="0"/>
      </w:pPr>
      <w:r>
        <w:rPr>
          <w:b w:val="0"/>
          <w:i w:val="0"/>
        </w:rPr>
        <w:t>BiblioGuard should be interpreted as a selective decision layer, not as evidence that conservative routing maximises average NDCG. On SCIDOCS, the global action is stronger in mean but exposes more queries to harm. A deployment can choose a penalty multiplier based on its tolerance for coverage and query-level regressions. The default is deliberately conservative.</w:t>
      </w:r>
    </w:p>
    <w:p>
      <w:pPr>
        <w:keepNext w:val="0"/>
      </w:pPr>
      <w:r>
        <w:rPr>
          <w:b w:val="0"/>
          <w:i w:val="0"/>
        </w:rPr>
        <w:t>The train-to-test results are equally important. Near-total abstention protects the content baseline, but a system that almost never acts has limited added value. This failure boundary motivates better calibrated representations, domain-conditioned action spaces, and development collections with sufficient intervention signal.</w:t>
      </w:r>
    </w:p>
    <w:p>
      <w:pPr>
        <w:pStyle w:val="Heading2"/>
      </w:pPr>
      <w:r>
        <w:t>7.2. Relation to end-to-end RAG</w:t>
      </w:r>
    </w:p>
    <w:p>
      <w:pPr>
        <w:keepNext w:val="0"/>
      </w:pPr>
      <w:r>
        <w:rPr>
          <w:b w:val="0"/>
          <w:i w:val="0"/>
        </w:rPr>
        <w:t>An earlier feasibility experiment generated 200 paired answers with two fixed MiniLM retrieval backends. It found no significant relevance, faithfulness, or citation-precision difference between them. That experiment predates BiblioGuard and does not test the new policy. It is therefore not used as evidence of an end-to-end generation gain and is retained only in the repository as secondary feasibility material. The same qualification applies to the earlier small deployment pilot.</w:t>
      </w:r>
    </w:p>
    <w:p>
      <w:pPr>
        <w:pStyle w:val="Heading2"/>
      </w:pPr>
      <w:r>
        <w:t>7.3. Limitations</w:t>
      </w:r>
    </w:p>
    <w:p>
      <w:pPr>
        <w:keepNext w:val="0"/>
      </w:pPr>
      <w:r>
        <w:rPr>
          <w:b w:val="0"/>
          <w:i w:val="0"/>
        </w:rPr>
        <w:t>First, the main gain occurs on one of four domains. Second, official train-to-test transfer yields abstention rather than improvement. Third, PDS is not a calibrated or distribution-free confidence bound. Fourth, the metadata snapshot is time-dependent, incomplete, and may encode popularity and age bias. Fifth, SCIDOCS representation and k ablations show meaningful sensitivity; they require independent tuning. Sixth, NDCG@10 is a retrieval surrogate and the paper does not establish a BiblioGuard generation gain. Seventh, candidate retrieval models are compact encoders rather than current large rerankers. Eighth, query-level improvements do not prevent individual harms.</w:t>
      </w:r>
    </w:p>
    <w:p>
      <w:pPr>
        <w:pStyle w:val="Heading2"/>
      </w:pPr>
      <w:r>
        <w:t>7.4. Responsible use</w:t>
      </w:r>
    </w:p>
    <w:p>
      <w:pPr>
        <w:keepNext w:val="0"/>
      </w:pPr>
      <w:r>
        <w:rPr>
          <w:b w:val="0"/>
          <w:i w:val="0"/>
        </w:rPr>
        <w:t>Citation counts should not be treated as scientific quality. They are affected by field size, publication age, language, venue, and social visibility. The fallback and abstention mechanism reduce unnecessary use but do not remove these biases. Interfaces should expose why a metadata action was used and allow users to disable it.</w:t>
      </w:r>
    </w:p>
    <w:p>
      <w:pPr>
        <w:pStyle w:val="Heading1"/>
      </w:pPr>
      <w:r>
        <w:t>8. Conclusion</w:t>
      </w:r>
    </w:p>
    <w:p>
      <w:pPr>
        <w:keepNext w:val="0"/>
      </w:pPr>
      <w:r>
        <w:rPr>
          <w:b w:val="0"/>
          <w:i w:val="0"/>
        </w:rPr>
        <w:t>We introduced BiblioGuard, a selective bibliographic intervention algorithm that compares atomic citation and recency actions with an unchanged strong content ranking. The method combines local paired effects, a multiplicity-corrected pessimistic score, and explicit fallback. It produces a stable improvement over SBERT-Dense on SCIDOCS while reducing harmed-query exposure relative to aggressive routing; on the remaining domains and official transfer tests it largely abstains. The negative transfer evidence sets a clear research agenda: independent calibration, broader development collections, and direct generation evaluation are required before bibliographic intervention can be considered broadly reliable.</w:t>
      </w:r>
    </w:p>
    <w:p>
      <w:pPr>
        <w:pStyle w:val="Heading1"/>
      </w:pPr>
      <w:r>
        <w:t>References</w:t>
      </w:r>
    </w:p>
    <w:p>
      <w:pPr>
        <w:keepNext w:val="0"/>
        <w:ind w:left="288" w:hanging="288"/>
      </w:pPr>
      <w:r>
        <w:rPr>
          <w:b w:val="0"/>
          <w:i w:val="0"/>
          <w:sz w:val="18"/>
        </w:rPr>
        <w:t>Asai, A., Wu, Z., Wang, Y., Sil, A., &amp; Hajishirzi, H. (2024). Self-RAG: Learning to retrieve, generate, and critique through self-reflection. ICLR.</w:t>
      </w:r>
    </w:p>
    <w:p>
      <w:pPr>
        <w:keepNext w:val="0"/>
        <w:ind w:left="288" w:hanging="288"/>
      </w:pPr>
      <w:r>
        <w:rPr>
          <w:b w:val="0"/>
          <w:i w:val="0"/>
          <w:sz w:val="18"/>
        </w:rPr>
        <w:t>Ding, H., Zhao, Y., Hu, T., Wang, Z., Patwardhan, M., &amp; Cohan, A. (2026). SciRAG: Adaptive, citation-aware, and outline-guided retrieval and synthesis for scientific literature. EACL, 6440–6460.</w:t>
      </w:r>
    </w:p>
    <w:p>
      <w:pPr>
        <w:keepNext w:val="0"/>
        <w:ind w:left="288" w:hanging="288"/>
      </w:pPr>
      <w:r>
        <w:rPr>
          <w:b w:val="0"/>
          <w:i w:val="0"/>
          <w:sz w:val="18"/>
        </w:rPr>
        <w:t>Geifman, Y., &amp; El-Yaniv, R. (2019). SelectiveNet: A deep neural network with an integrated reject option. ICML, 2151–2159.</w:t>
      </w:r>
    </w:p>
    <w:p>
      <w:pPr>
        <w:keepNext w:val="0"/>
        <w:ind w:left="288" w:hanging="288"/>
      </w:pPr>
      <w:r>
        <w:rPr>
          <w:b w:val="0"/>
          <w:i w:val="0"/>
          <w:sz w:val="18"/>
        </w:rPr>
        <w:t>Guo, Y., Su, M., Guan, S., Sun, Z., Jin, X., Guo, J., &amp; Cheng, X. (2026). RouteRAG: Efficient retrieval-augmented generation from text and graph via reinforcement learning. Findings of ACL, 30042–30059. https://doi.org/10.18653/v1/2026.findings-acl.1502</w:t>
      </w:r>
    </w:p>
    <w:p>
      <w:pPr>
        <w:keepNext w:val="0"/>
        <w:ind w:left="288" w:hanging="288"/>
      </w:pPr>
      <w:r>
        <w:rPr>
          <w:b w:val="0"/>
          <w:i w:val="0"/>
          <w:sz w:val="18"/>
        </w:rPr>
        <w:t>Hwang, J., Park, J., Park, H., Kim, D., Park, S., &amp; Ok, J. (2025). Retrieval-augmented generation with estimation of source reliability. EMNLP, 34279–34303.</w:t>
      </w:r>
    </w:p>
    <w:p>
      <w:pPr>
        <w:keepNext w:val="0"/>
        <w:ind w:left="288" w:hanging="288"/>
      </w:pPr>
      <w:r>
        <w:rPr>
          <w:b w:val="0"/>
          <w:i w:val="0"/>
          <w:sz w:val="18"/>
        </w:rPr>
        <w:t>Priem, J., Piwowar, H., &amp; Orr, R. (2022). OpenAlex: A fully-open index of scholarly works, authors, venues, institutions, and concepts. arXiv:2205.01833.</w:t>
      </w:r>
    </w:p>
    <w:p>
      <w:pPr>
        <w:keepNext w:val="0"/>
        <w:ind w:left="288" w:hanging="288"/>
      </w:pPr>
      <w:r>
        <w:rPr>
          <w:b w:val="0"/>
          <w:i w:val="0"/>
          <w:sz w:val="18"/>
        </w:rPr>
        <w:t>Reimers, N., &amp; Gurevych, I. (2019). Sentence-BERT: Sentence embeddings using Siamese BERT-networks. EMNLP-IJCNLP, 3982–3992.</w:t>
      </w:r>
    </w:p>
    <w:p>
      <w:pPr>
        <w:keepNext w:val="0"/>
        <w:ind w:left="288" w:hanging="288"/>
      </w:pPr>
      <w:r>
        <w:rPr>
          <w:b w:val="0"/>
          <w:i w:val="0"/>
          <w:sz w:val="18"/>
        </w:rPr>
        <w:t>Thakur, N., Reimers, N., Rücklé, A., Srivastava, A., &amp; Gurevych, I. (2021). BEIR: A heterogeneous benchmark for zero-shot evaluation of information retrieval models. NeurIPS Datasets and Benchmarks.</w:t>
      </w:r>
    </w:p>
    <w:p>
      <w:pPr>
        <w:keepNext w:val="0"/>
        <w:ind w:left="288" w:hanging="288"/>
      </w:pPr>
      <w:r>
        <w:rPr>
          <w:b w:val="0"/>
          <w:i w:val="0"/>
          <w:sz w:val="18"/>
        </w:rPr>
        <w:t>Thomas, P. S., Theocharous, G., &amp; Ghavamzadeh, M. (2015). High confidence policy improvement. ICML, 2380–2388.</w:t>
      </w:r>
    </w:p>
    <w:p>
      <w:pPr>
        <w:keepNext w:val="0"/>
        <w:ind w:left="288" w:hanging="288"/>
      </w:pPr>
      <w:r>
        <w:rPr>
          <w:b w:val="0"/>
          <w:i w:val="0"/>
          <w:sz w:val="18"/>
        </w:rPr>
        <w:t>Uddin, I., &amp; Bauer, A. (2026). Conformal LLM routing with distribution-free safety guarantees. ACL Student Research Workshop, 791–799. https://doi.org/10.18653/v1/2026.acl-srw.70</w:t>
      </w:r>
    </w:p>
    <w:p>
      <w:pPr>
        <w:keepNext w:val="0"/>
        <w:ind w:left="288" w:hanging="288"/>
      </w:pPr>
      <w:r>
        <w:rPr>
          <w:b w:val="0"/>
          <w:i w:val="0"/>
          <w:sz w:val="18"/>
        </w:rPr>
        <w:t>Varangot-Reille, C., Bouvard, C., &amp; Gourru, A. (2026). Generalising LLM routing using past performance retrieval: A few-shot router is sufficient. EACL Student Research Workshop, 304–319. https://doi.org/10.18653/v1/2026.eacl-srw.22</w:t>
      </w:r>
    </w:p>
    <w:p>
      <w:pPr>
        <w:keepNext w:val="0"/>
        <w:ind w:left="288" w:hanging="288"/>
      </w:pPr>
      <w:r>
        <w:rPr>
          <w:b w:val="0"/>
          <w:i w:val="0"/>
          <w:sz w:val="18"/>
        </w:rPr>
        <w:t>Xiao, S., Liu, Z., Zhang, P., &amp; Muennighoff, N. (2023). C-Pack: Packaged resources to advance general Chinese embedding. arXiv:2309.07597.</w:t>
      </w:r>
    </w:p>
    <w:p>
      <w:pPr>
        <w:keepNext w:val="0"/>
        <w:ind w:left="288" w:hanging="288"/>
      </w:pPr>
      <w:r>
        <w:rPr>
          <w:b w:val="0"/>
          <w:i w:val="0"/>
          <w:sz w:val="18"/>
        </w:rPr>
        <w:t>Yousuf, R. B., Xu, S., Sharma, M., Neeser, A., Latimer, C., &amp; Ramakrishnan, N. (2026). Utilizing metadata for better retrieval-augmented generation. ECIR, 305–319.</w:t>
      </w:r>
    </w:p>
    <w:p>
      <w:pPr>
        <w:keepNext w:val="0"/>
        <w:ind w:left="288" w:hanging="288"/>
      </w:pPr>
      <w:r>
        <w:rPr>
          <w:b w:val="0"/>
          <w:i w:val="0"/>
          <w:sz w:val="18"/>
        </w:rPr>
        <w:t>Zhao, T., Zhu, Y., Tian, Y., &amp; Dou, Z. (2026). R3AG: Retriever routing for retrieval-augmented generation. ACL, 20506–20522. https://doi.org/10.18653/v1/2026.acl-long.939</w:t>
      </w:r>
    </w:p>
    <w:p>
      <w:pPr>
        <w:pStyle w:val="Heading1"/>
      </w:pPr>
      <w:r>
        <w:t>Data and code availability</w:t>
      </w:r>
    </w:p>
    <w:p>
      <w:pPr>
        <w:keepNext w:val="0"/>
      </w:pPr>
      <w:r>
        <w:rPr>
          <w:b w:val="0"/>
          <w:i w:val="0"/>
        </w:rPr>
        <w:t>The full pipeline, frozen metadata, per-query outcomes, action archives, and verification scripts are available at https://github.com/TwistXXF/PaperPilot-Reproduction. The exact revised commit and archival DOI will be inserted after the revision is released; no DOI from an earlier manuscript version is claimed here.</w:t>
      </w:r>
    </w:p>
    <w:sectPr w:rsidR="00FC693F" w:rsidRPr="0006063C" w:rsidSect="00034616">
      <w:footerReference w:type="default" r:id="rId9"/>
      <w:pgSz w:w="12240" w:h="15840"/>
      <w:pgMar w:top="1080" w:right="1123" w:bottom="1080"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