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rPr>
          <w:b/>
          <w:i w:val="0"/>
          <w:sz w:val="28"/>
        </w:rPr>
        <w:t>Cover letter</w:t>
      </w:r>
    </w:p>
    <w:p>
      <w:pPr>
        <w:keepNext w:val="0"/>
      </w:pPr>
      <w:r>
        <w:rPr>
          <w:b w:val="0"/>
          <w:i w:val="0"/>
        </w:rPr>
        <w:t>Dear Editor,</w:t>
      </w:r>
    </w:p>
    <w:p>
      <w:pPr>
        <w:keepNext w:val="0"/>
      </w:pPr>
      <w:r>
        <w:rPr>
          <w:b w:val="0"/>
          <w:i w:val="0"/>
        </w:rPr>
        <w:t>Please consider our substantially revised manuscript, “BiblioGuard: Selective bibliographic metadata intervention for multi-domain scientific retrieval-augmented generation”, for Expert Systems with Applications. An earlier version was submitted as ESWA-D-26-34170 and was declined at the preliminary screen because its methodological novelty was insufficient. We disclose that history so that the scale of the revision is clear.</w:t>
      </w:r>
    </w:p>
    <w:p>
      <w:pPr>
        <w:keepNext w:val="0"/>
      </w:pPr>
      <w:r>
        <w:rPr>
          <w:b w:val="0"/>
          <w:i w:val="0"/>
        </w:rPr>
        <w:t>This is not a textual resubmission. The earlier manuscript mainly reported a four-dataset retrieval evaluation. The new manuscript introduces BiblioGuard, a query-level selective intervention algorithm. It estimates paired gains of atomic citation or recency actions among similar historical queries and applies a Bonferroni-corrected pessimistic decision score; otherwise it retains a content-only fallback.</w:t>
      </w:r>
    </w:p>
    <w:p>
      <w:pPr>
        <w:keepNext w:val="0"/>
      </w:pPr>
      <w:r>
        <w:rPr>
          <w:b w:val="0"/>
          <w:i w:val="0"/>
        </w:rPr>
        <w:t>The experimental design has also been rebuilt. Metadata actions now preserve exactly the same content score, fusion weights, and top-100 candidate set as the fallback. The fallback is selected from strong dense and hybrid retrievers using training folds. We add a ContextualRouter-style local mean baseline, a global-best action, uncorrected and corrected gates, word/character and neighbourhood ablations, ten repeated fold seeds, paired bootstrap intervals, two-sided tests, risk–coverage curves, and active-query harm counts. We further add official train-to-test transfer experiments on SciFact and NFCorpus, where test labels are accessed only after all routing decisions are frozen.</w:t>
      </w:r>
    </w:p>
    <w:p>
      <w:pPr>
        <w:keepNext w:val="0"/>
      </w:pPr>
      <w:r>
        <w:rPr>
          <w:b w:val="0"/>
          <w:i w:val="0"/>
        </w:rPr>
        <w:t>We intentionally narrow the novelty claim. BiblioGuard is presented as a metadata-specific selective decision layer, not as a new general confidence theory or a distribution-free safety guarantee. The manuscript now uses “multi-domain” rather than “cross-domain”, reports null transfer findings, and separates earlier generation and deployment observations as feasibility evidence.</w:t>
      </w:r>
    </w:p>
    <w:p>
      <w:pPr>
        <w:keepNext w:val="0"/>
      </w:pPr>
      <w:r>
        <w:rPr>
          <w:b w:val="0"/>
          <w:i w:val="0"/>
        </w:rPr>
        <w:t>The manuscript is original, is not under consideration elsewhere, and all authors have approved the submission. We have no competing interests to declare.</w:t>
      </w:r>
    </w:p>
    <w:p>
      <w:pPr>
        <w:keepNext w:val="0"/>
      </w:pPr>
      <w:r>
        <w:rPr>
          <w:b w:val="0"/>
          <w:i w:val="0"/>
        </w:rPr>
        <w:t>Sincerely,</w:t>
      </w:r>
    </w:p>
    <w:p>
      <w:pPr>
        <w:keepNext w:val="0"/>
      </w:pPr>
      <w:r>
        <w:rPr>
          <w:b w:val="0"/>
          <w:i w:val="0"/>
        </w:rPr>
        <w:t>Zichen Feng</w:t>
        <w:br/>
        <w:t>Department of Computer Science and Technology, Sanya University, Sanya 572022, China</w:t>
        <w:br/>
        <w:t>3353854381@qq.com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