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rPr>
      </w:pPr>
      <w:r w:rsidDel="00000000" w:rsidR="00000000" w:rsidRPr="00000000">
        <w:rPr>
          <w:b w:val="1"/>
          <w:bCs w:val="1"/>
          <w:rtl w:val="0"/>
        </w:rPr>
        <w:t xml:space="preserve">Appropriate pump selection and Efficiency in irrigation pumping</w:t>
      </w:r>
    </w:p>
    <w:p w:rsidR="00000000" w:rsidDel="00000000" w:rsidP="00000000" w:rsidRDefault="00000000" w:rsidRPr="00000000" w14:paraId="00000002">
      <w:pPr>
        <w:jc w:val="center"/>
        <w:rPr>
          <w:b w:val="1"/>
          <w:bCs w:val="1"/>
        </w:rPr>
      </w:pPr>
      <w:r w:rsidDel="00000000" w:rsidR="00000000" w:rsidRPr="00000000">
        <w:rPr>
          <w:rtl w:val="0"/>
        </w:rPr>
      </w:r>
    </w:p>
    <w:p w:rsidR="00000000" w:rsidDel="00000000" w:rsidP="00000000" w:rsidRDefault="00000000" w:rsidRPr="00000000" w14:paraId="00000003">
      <w:pPr>
        <w:rPr>
          <w:b w:val="1"/>
          <w:bCs w:val="1"/>
        </w:rPr>
      </w:pPr>
      <w:r w:rsidDel="00000000" w:rsidR="00000000" w:rsidRPr="00000000">
        <w:rPr>
          <w:rtl w:val="0"/>
        </w:rPr>
      </w:r>
    </w:p>
    <w:p w:rsidR="00000000" w:rsidDel="00000000" w:rsidP="00000000" w:rsidRDefault="00000000" w:rsidRPr="00000000" w14:paraId="00000004">
      <w:pPr>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Done as a  part of the Project on Climate Resilient Agriculture, a project of the Dept. of Agriculture, Gov. of Maharashtra and the World Bank. </w:t>
      </w:r>
    </w:p>
    <w:p w:rsidR="00000000" w:rsidDel="00000000" w:rsidP="00000000" w:rsidRDefault="00000000" w:rsidRPr="00000000" w14:paraId="00000005">
      <w:pPr>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006">
      <w:pPr>
        <w:rPr>
          <w:rFonts w:ascii="Times New Roman" w:cs="Times New Roman" w:eastAsia="Times New Roman" w:hAnsi="Times New Roman"/>
          <w:b w:val="1"/>
          <w:bCs w:val="1"/>
          <w:sz w:val="24"/>
          <w:szCs w:val="24"/>
          <w:highlight w:val="white"/>
        </w:rPr>
      </w:pPr>
      <w:hyperlink r:id="rId6">
        <w:r w:rsidDel="00000000" w:rsidR="00000000" w:rsidRPr="00000000">
          <w:rPr>
            <w:rFonts w:ascii="Times New Roman" w:cs="Times New Roman" w:eastAsia="Times New Roman" w:hAnsi="Times New Roman"/>
            <w:b w:val="1"/>
            <w:bCs w:val="1"/>
            <w:color w:val="1155cc"/>
            <w:sz w:val="24"/>
            <w:szCs w:val="24"/>
            <w:highlight w:val="white"/>
            <w:u w:val="single"/>
            <w:rtl w:val="0"/>
          </w:rPr>
          <w:t xml:space="preserve">Download Report</w:t>
        </w:r>
      </w:hyperlink>
      <w:r w:rsidDel="00000000" w:rsidR="00000000" w:rsidRPr="00000000">
        <w:rPr>
          <w:rtl w:val="0"/>
        </w:rPr>
      </w:r>
    </w:p>
    <w:p w:rsidR="00000000" w:rsidDel="00000000" w:rsidP="00000000" w:rsidRDefault="00000000" w:rsidRPr="00000000" w14:paraId="00000007">
      <w:pPr>
        <w:spacing w:after="240" w:before="240" w:lineRule="auto"/>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Academic work in the area: </w:t>
      </w:r>
      <w:r w:rsidDel="00000000" w:rsidR="00000000" w:rsidRPr="00000000">
        <w:rPr>
          <w:rFonts w:ascii="Times New Roman" w:cs="Times New Roman" w:eastAsia="Times New Roman" w:hAnsi="Times New Roman"/>
          <w:sz w:val="24"/>
          <w:szCs w:val="24"/>
          <w:highlight w:val="white"/>
          <w:rtl w:val="0"/>
        </w:rPr>
        <w:t xml:space="preserve">MTech project: Investigating Agriculture Demand Side Management through ESCO – (A case study of Solapur Pump replacement Project) Saurabh Khobragade, 2017 - 2018. </w:t>
      </w:r>
      <w:hyperlink r:id="rId7">
        <w:r w:rsidDel="00000000" w:rsidR="00000000" w:rsidRPr="00000000">
          <w:rPr>
            <w:rFonts w:ascii="Times New Roman" w:cs="Times New Roman" w:eastAsia="Times New Roman" w:hAnsi="Times New Roman"/>
            <w:b w:val="1"/>
            <w:bCs w:val="1"/>
            <w:color w:val="1155cc"/>
            <w:sz w:val="24"/>
            <w:szCs w:val="24"/>
            <w:highlight w:val="white"/>
            <w:u w:val="single"/>
            <w:rtl w:val="0"/>
          </w:rPr>
          <w:t xml:space="preserve">Download report.</w:t>
        </w:r>
      </w:hyperlink>
      <w:r w:rsidDel="00000000" w:rsidR="00000000" w:rsidRPr="00000000">
        <w:rPr>
          <w:rtl w:val="0"/>
        </w:rPr>
      </w:r>
    </w:p>
    <w:p w:rsidR="00000000" w:rsidDel="00000000" w:rsidP="00000000" w:rsidRDefault="00000000" w:rsidRPr="00000000" w14:paraId="00000008">
      <w:pPr>
        <w:spacing w:after="240" w:befor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Programs on energy efficiency irrigation pumps have been implemented by governments for several decades up to around 2015. The PoCRA work revealed some interesting new results. With the high penetration of sprinkler usage among farmers in Maharashtra, the selection of a pump can no longer be based on a single duty point. This work addresses this complexity. On the other hand due to various government schemes, many farmers have begun to use star-rated or at least standard pumps. </w:t>
      </w:r>
    </w:p>
    <w:p w:rsidR="00000000" w:rsidDel="00000000" w:rsidP="00000000" w:rsidRDefault="00000000" w:rsidRPr="00000000" w14:paraId="00000009">
      <w:pPr>
        <w:spacing w:after="240" w:befor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 set of guidelines for pump selection were developed under PoCRA. A notification for promotion of guidelines was sent through a</w:t>
      </w:r>
      <w:hyperlink r:id="rId8">
        <w:r w:rsidDel="00000000" w:rsidR="00000000" w:rsidRPr="00000000">
          <w:rPr>
            <w:rFonts w:ascii="Times New Roman" w:cs="Times New Roman" w:eastAsia="Times New Roman" w:hAnsi="Times New Roman"/>
            <w:color w:val="1155cc"/>
            <w:sz w:val="24"/>
            <w:szCs w:val="24"/>
            <w:highlight w:val="white"/>
            <w:u w:val="single"/>
            <w:rtl w:val="0"/>
          </w:rPr>
          <w:t xml:space="preserve"> policy brief </w:t>
        </w:r>
      </w:hyperlink>
      <w:r w:rsidDel="00000000" w:rsidR="00000000" w:rsidRPr="00000000">
        <w:rPr>
          <w:rFonts w:ascii="Times New Roman" w:cs="Times New Roman" w:eastAsia="Times New Roman" w:hAnsi="Times New Roman"/>
          <w:sz w:val="24"/>
          <w:szCs w:val="24"/>
          <w:highlight w:val="white"/>
          <w:rtl w:val="0"/>
        </w:rPr>
        <w:t xml:space="preserve">to all block level and higher Agricultural officers. The data and result regarding this is included in a </w:t>
      </w:r>
      <w:hyperlink r:id="rId9">
        <w:r w:rsidDel="00000000" w:rsidR="00000000" w:rsidRPr="00000000">
          <w:rPr>
            <w:rFonts w:ascii="Times New Roman" w:cs="Times New Roman" w:eastAsia="Times New Roman" w:hAnsi="Times New Roman"/>
            <w:color w:val="1155cc"/>
            <w:sz w:val="24"/>
            <w:szCs w:val="24"/>
            <w:highlight w:val="white"/>
            <w:u w:val="single"/>
            <w:rtl w:val="0"/>
          </w:rPr>
          <w:t xml:space="preserve">publication</w:t>
        </w:r>
      </w:hyperlink>
      <w:r w:rsidDel="00000000" w:rsidR="00000000" w:rsidRPr="00000000">
        <w:rPr>
          <w:rFonts w:ascii="Times New Roman" w:cs="Times New Roman" w:eastAsia="Times New Roman" w:hAnsi="Times New Roman"/>
          <w:sz w:val="24"/>
          <w:szCs w:val="24"/>
          <w:highlight w:val="white"/>
          <w:rtl w:val="0"/>
        </w:rPr>
        <w:t xml:space="preserve"> - </w:t>
      </w:r>
      <w:hyperlink r:id="rId10">
        <w:r w:rsidDel="00000000" w:rsidR="00000000" w:rsidRPr="00000000">
          <w:rPr>
            <w:rFonts w:ascii="Times New Roman" w:cs="Times New Roman" w:eastAsia="Times New Roman" w:hAnsi="Times New Roman"/>
            <w:i w:val="1"/>
            <w:iCs w:val="1"/>
            <w:color w:val="1155cc"/>
            <w:sz w:val="24"/>
            <w:szCs w:val="24"/>
            <w:highlight w:val="white"/>
            <w:u w:val="single"/>
            <w:rtl w:val="0"/>
          </w:rPr>
          <w:t xml:space="preserve">Methodology to quantify crop, irrigation water, and energy linkages in small-holder irrigation systems</w:t>
        </w:r>
      </w:hyperlink>
      <w:r w:rsidDel="00000000" w:rsidR="00000000" w:rsidRPr="00000000">
        <w:rPr>
          <w:rFonts w:ascii="Times New Roman" w:cs="Times New Roman" w:eastAsia="Times New Roman" w:hAnsi="Times New Roman"/>
          <w:sz w:val="24"/>
          <w:szCs w:val="24"/>
          <w:highlight w:val="white"/>
          <w:rtl w:val="0"/>
        </w:rPr>
        <w:t xml:space="preserve">.</w:t>
      </w:r>
    </w:p>
    <w:p w:rsidR="00000000" w:rsidDel="00000000" w:rsidP="00000000" w:rsidRDefault="00000000" w:rsidRPr="00000000" w14:paraId="0000000A">
      <w:pPr>
        <w:spacing w:after="240" w:before="240" w:lineRule="auto"/>
        <w:jc w:val="both"/>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00B">
      <w:pPr>
        <w:spacing w:after="240" w:before="240" w:lineRule="auto"/>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Related Publications: </w:t>
      </w:r>
    </w:p>
    <w:p w:rsidR="00000000" w:rsidDel="00000000" w:rsidP="00000000" w:rsidRDefault="00000000" w:rsidRPr="00000000" w14:paraId="0000000C">
      <w:pPr>
        <w:spacing w:after="240" w:befor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Khobaragade S., Bhosale P., Jadhav P. (2021) ESCO Model for Energy-Efficient Pump Installation Scheme: A Case Study. In: Bose M., Modi A. (eds) Proceedings of the 7th International Conference on Advances in Energy Research. Springer Proceedings in Energy. Springer, Singapore. </w:t>
      </w:r>
      <w:hyperlink r:id="rId11">
        <w:r w:rsidDel="00000000" w:rsidR="00000000" w:rsidRPr="00000000">
          <w:rPr>
            <w:rFonts w:ascii="Times New Roman" w:cs="Times New Roman" w:eastAsia="Times New Roman" w:hAnsi="Times New Roman"/>
            <w:color w:val="1155cc"/>
            <w:sz w:val="24"/>
            <w:szCs w:val="24"/>
            <w:highlight w:val="white"/>
            <w:u w:val="single"/>
            <w:rtl w:val="0"/>
          </w:rPr>
          <w:t xml:space="preserve">https://doi.org/10.1007/978-981-15-5955-6_35</w:t>
        </w:r>
      </w:hyperlink>
      <w:r w:rsidDel="00000000" w:rsidR="00000000" w:rsidRPr="00000000">
        <w:rPr>
          <w:rtl w:val="0"/>
        </w:rPr>
      </w:r>
    </w:p>
    <w:p w:rsidR="00000000" w:rsidDel="00000000" w:rsidP="00000000" w:rsidRDefault="00000000" w:rsidRPr="00000000" w14:paraId="0000000D">
      <w:pPr>
        <w:spacing w:after="240" w:before="240" w:lineRule="auto"/>
        <w:jc w:val="both"/>
        <w:rPr>
          <w:rFonts w:ascii="Times New Roman" w:cs="Times New Roman" w:eastAsia="Times New Roman" w:hAnsi="Times New Roman"/>
          <w:sz w:val="24"/>
          <w:szCs w:val="24"/>
          <w:highlight w:val="white"/>
        </w:rPr>
      </w:pPr>
      <w:hyperlink r:id="rId12">
        <w:r w:rsidDel="00000000" w:rsidR="00000000" w:rsidRPr="00000000">
          <w:rPr>
            <w:rFonts w:ascii="Times New Roman" w:cs="Times New Roman" w:eastAsia="Times New Roman" w:hAnsi="Times New Roman"/>
            <w:color w:val="1155cc"/>
            <w:sz w:val="24"/>
            <w:szCs w:val="24"/>
            <w:highlight w:val="white"/>
            <w:u w:val="single"/>
            <w:rtl w:val="0"/>
          </w:rPr>
          <w:t xml:space="preserve">"Methodology to quantify crop, irrigation water, and energy linkages in small-holder irrigation systems", Namita Sawant, Sameer Kulkarni, Pankaj Sharma, Akanksha Doval, Energy for Sustainable Development.</w:t>
        </w:r>
      </w:hyperlink>
      <w:r w:rsidDel="00000000" w:rsidR="00000000" w:rsidRPr="00000000">
        <w:rPr>
          <w:rFonts w:ascii="Times New Roman" w:cs="Times New Roman" w:eastAsia="Times New Roman" w:hAnsi="Times New Roman"/>
          <w:sz w:val="24"/>
          <w:szCs w:val="24"/>
          <w:highlight w:val="white"/>
          <w:rtl w:val="0"/>
        </w:rPr>
        <w:t xml:space="preserve"> </w:t>
      </w:r>
      <w:r w:rsidDel="00000000" w:rsidR="00000000" w:rsidRPr="00000000">
        <w:rPr>
          <w:rtl w:val="0"/>
        </w:rPr>
      </w:r>
    </w:p>
    <w:p w:rsidR="00000000" w:rsidDel="00000000" w:rsidP="00000000" w:rsidRDefault="00000000" w:rsidRPr="00000000" w14:paraId="0000000E">
      <w:pPr>
        <w:spacing w:after="240" w:before="240" w:lineRule="auto"/>
        <w:jc w:val="both"/>
        <w:rPr>
          <w:b w:val="1"/>
          <w:bCs w:val="1"/>
        </w:rPr>
      </w:pPr>
      <w:r w:rsidDel="00000000" w:rsidR="00000000" w:rsidRPr="00000000">
        <w:rPr>
          <w:b w:val="1"/>
          <w:bCs w:val="1"/>
        </w:rPr>
        <w:drawing>
          <wp:inline distB="19050" distT="19050" distL="19050" distR="19050">
            <wp:extent cx="5076305" cy="3807229"/>
            <wp:effectExtent b="0" l="0" r="0" t="0"/>
            <wp:docPr id="3" name="image2.jpg"/>
            <a:graphic>
              <a:graphicData uri="http://schemas.openxmlformats.org/drawingml/2006/picture">
                <pic:pic>
                  <pic:nvPicPr>
                    <pic:cNvPr id="0" name="image2.jpg"/>
                    <pic:cNvPicPr preferRelativeResize="0"/>
                  </pic:nvPicPr>
                  <pic:blipFill>
                    <a:blip r:embed="rId13"/>
                    <a:srcRect b="0" l="0" r="0" t="0"/>
                    <a:stretch>
                      <a:fillRect/>
                    </a:stretch>
                  </pic:blipFill>
                  <pic:spPr>
                    <a:xfrm>
                      <a:off x="0" y="0"/>
                      <a:ext cx="5076305" cy="3807229"/>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spacing w:after="240" w:before="240" w:lineRule="auto"/>
        <w:jc w:val="both"/>
        <w:rPr>
          <w:b w:val="1"/>
          <w:bCs w:val="1"/>
        </w:rPr>
      </w:pPr>
      <w:r w:rsidDel="00000000" w:rsidR="00000000" w:rsidRPr="00000000">
        <w:rPr>
          <w:b w:val="1"/>
          <w:bCs w:val="1"/>
          <w:rtl w:val="0"/>
        </w:rPr>
        <w:t xml:space="preserve">Water flow rate measurements</w:t>
      </w:r>
    </w:p>
    <w:p w:rsidR="00000000" w:rsidDel="00000000" w:rsidP="00000000" w:rsidRDefault="00000000" w:rsidRPr="00000000" w14:paraId="00000010">
      <w:pPr>
        <w:spacing w:after="240" w:before="240" w:lineRule="auto"/>
        <w:jc w:val="both"/>
        <w:rPr>
          <w:b w:val="1"/>
          <w:bCs w:val="1"/>
        </w:rPr>
      </w:pPr>
      <w:r w:rsidDel="00000000" w:rsidR="00000000" w:rsidRPr="00000000">
        <w:rPr>
          <w:b w:val="1"/>
          <w:bCs w:val="1"/>
        </w:rPr>
        <w:drawing>
          <wp:inline distB="19050" distT="19050" distL="19050" distR="19050">
            <wp:extent cx="4304328" cy="3905251"/>
            <wp:effectExtent b="0" l="0" r="0" t="0"/>
            <wp:docPr descr="https://lh3.googleusercontent.com/-le3BHebwZcB0j_mW3yGpxdwseQI_TZ2J2kNAhqxQKQwWTBUGn61hGB-PldyOJsPa5v7fW-gU0Zr5ILSFQxupjE8yhM4jB0ncpQcm9_Ih3ks4u5GhPGuL3Fqp9AmEtTQuNofSbs" id="1" name="image1.jpg"/>
            <a:graphic>
              <a:graphicData uri="http://schemas.openxmlformats.org/drawingml/2006/picture">
                <pic:pic>
                  <pic:nvPicPr>
                    <pic:cNvPr descr="https://lh3.googleusercontent.com/-le3BHebwZcB0j_mW3yGpxdwseQI_TZ2J2kNAhqxQKQwWTBUGn61hGB-PldyOJsPa5v7fW-gU0Zr5ILSFQxupjE8yhM4jB0ncpQcm9_Ih3ks4u5GhPGuL3Fqp9AmEtTQuNofSbs" id="0" name="image1.jpg"/>
                    <pic:cNvPicPr preferRelativeResize="0"/>
                  </pic:nvPicPr>
                  <pic:blipFill>
                    <a:blip r:embed="rId14"/>
                    <a:srcRect b="0" l="0" r="0" t="0"/>
                    <a:stretch>
                      <a:fillRect/>
                    </a:stretch>
                  </pic:blipFill>
                  <pic:spPr>
                    <a:xfrm>
                      <a:off x="0" y="0"/>
                      <a:ext cx="4304328" cy="3905251"/>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spacing w:after="240" w:before="240" w:lineRule="auto"/>
        <w:jc w:val="both"/>
        <w:rPr>
          <w:b w:val="1"/>
          <w:bCs w:val="1"/>
        </w:rPr>
      </w:pPr>
      <w:r w:rsidDel="00000000" w:rsidR="00000000" w:rsidRPr="00000000">
        <w:rPr>
          <w:b w:val="1"/>
          <w:bCs w:val="1"/>
          <w:rtl w:val="0"/>
        </w:rPr>
        <w:t xml:space="preserve">Water being pumped over 1 km from an irrigation tank in Umbarda Bazaar village, Washim</w:t>
      </w:r>
    </w:p>
    <w:p w:rsidR="00000000" w:rsidDel="00000000" w:rsidP="00000000" w:rsidRDefault="00000000" w:rsidRPr="00000000" w14:paraId="00000012">
      <w:pPr>
        <w:spacing w:after="240" w:before="240" w:lineRule="auto"/>
        <w:jc w:val="both"/>
        <w:rPr>
          <w:b w:val="1"/>
          <w:bCs w:val="1"/>
        </w:rPr>
      </w:pPr>
      <w:r w:rsidDel="00000000" w:rsidR="00000000" w:rsidRPr="00000000">
        <w:rPr>
          <w:b w:val="1"/>
          <w:bCs w:val="1"/>
        </w:rPr>
        <w:drawing>
          <wp:inline distB="19050" distT="19050" distL="19050" distR="19050">
            <wp:extent cx="3892634" cy="2919475"/>
            <wp:effectExtent b="0" l="0" r="0" t="0"/>
            <wp:docPr id="2" name="image3.jpg"/>
            <a:graphic>
              <a:graphicData uri="http://schemas.openxmlformats.org/drawingml/2006/picture">
                <pic:pic>
                  <pic:nvPicPr>
                    <pic:cNvPr id="0" name="image3.jpg"/>
                    <pic:cNvPicPr preferRelativeResize="0"/>
                  </pic:nvPicPr>
                  <pic:blipFill>
                    <a:blip r:embed="rId15"/>
                    <a:srcRect b="0" l="0" r="0" t="0"/>
                    <a:stretch>
                      <a:fillRect/>
                    </a:stretch>
                  </pic:blipFill>
                  <pic:spPr>
                    <a:xfrm>
                      <a:off x="0" y="0"/>
                      <a:ext cx="3892634" cy="2919475"/>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spacing w:after="240" w:before="240" w:lineRule="auto"/>
        <w:jc w:val="both"/>
        <w:rPr>
          <w:sz w:val="28"/>
          <w:szCs w:val="28"/>
        </w:rPr>
      </w:pPr>
      <w:r w:rsidDel="00000000" w:rsidR="00000000" w:rsidRPr="00000000">
        <w:rPr>
          <w:rFonts w:ascii="Calibri" w:cs="Calibri" w:eastAsia="Calibri" w:hAnsi="Calibri"/>
          <w:b w:val="1"/>
          <w:bCs w:val="1"/>
          <w:sz w:val="36"/>
          <w:szCs w:val="36"/>
          <w:rtl w:val="0"/>
        </w:rPr>
        <w:t xml:space="preserve">Walgud-Junonivillages group, Osmanabad, Osmanabad</w:t>
      </w:r>
      <w:r w:rsidDel="00000000" w:rsidR="00000000" w:rsidRPr="00000000">
        <w:rPr>
          <w:rtl w:val="0"/>
        </w:rPr>
      </w:r>
    </w:p>
    <w:p w:rsidR="00000000" w:rsidDel="00000000" w:rsidP="00000000" w:rsidRDefault="00000000" w:rsidRPr="00000000" w14:paraId="00000014">
      <w:pPr>
        <w:spacing w:after="240" w:before="240" w:lineRule="auto"/>
        <w:jc w:val="both"/>
        <w:rPr>
          <w:b w:val="1"/>
          <w:bCs w:val="1"/>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doi.org/10.1007/978-981-15-5955-6_35" TargetMode="External"/><Relationship Id="rId10" Type="http://schemas.openxmlformats.org/officeDocument/2006/relationships/hyperlink" Target="https://doi.org/10.1016/j.esd.2025.101719" TargetMode="External"/><Relationship Id="rId13" Type="http://schemas.openxmlformats.org/officeDocument/2006/relationships/image" Target="media/image2.jpg"/><Relationship Id="rId12" Type="http://schemas.openxmlformats.org/officeDocument/2006/relationships/hyperlink" Target="https://doi.org/10.1016/j.esd.2025.101719"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i.org/10.1016/j.esd.2025.101719" TargetMode="External"/><Relationship Id="rId15" Type="http://schemas.openxmlformats.org/officeDocument/2006/relationships/image" Target="media/image3.jpg"/><Relationship Id="rId14" Type="http://schemas.openxmlformats.org/officeDocument/2006/relationships/image" Target="media/image1.jpg"/><Relationship Id="rId5" Type="http://schemas.openxmlformats.org/officeDocument/2006/relationships/styles" Target="styles.xml"/><Relationship Id="rId6" Type="http://schemas.openxmlformats.org/officeDocument/2006/relationships/hyperlink" Target="https://drive.google.com/file/d/1YBSQzDIRYmVWGHUbk2rJYaCbouf-JfJS/view?usp=drive_link" TargetMode="External"/><Relationship Id="rId7" Type="http://schemas.openxmlformats.org/officeDocument/2006/relationships/hyperlink" Target="https://drive.google.com/file/d/15TkB_4OxIvCzXOpBfz8xBsy4sErawCfl/view?usp=drive_link" TargetMode="External"/><Relationship Id="rId8" Type="http://schemas.openxmlformats.org/officeDocument/2006/relationships/hyperlink" Target="https://drive.google.com/file/d/1Rc1Grvd8RHCovwj12_ohh5F6gtHWQNLj/view?usp=drive_lin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