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70743" w:rsidR="00470743" w:rsidP="00470743" w:rsidRDefault="00470743" w14:paraId="4F05E1EB" w14:textId="77777777">
      <w:pPr>
        <w:spacing w:after="203" w:line="240" w:lineRule="auto"/>
        <w:outlineLvl w:val="0"/>
        <w:rPr>
          <w:rFonts w:ascii="Arial" w:hAnsi="Arial" w:eastAsia="Times New Roman" w:cs="Arial"/>
          <w:b/>
          <w:bCs/>
          <w:color w:val="0B82C6"/>
          <w:kern w:val="36"/>
          <w:sz w:val="58"/>
          <w:szCs w:val="58"/>
          <w:lang w:eastAsia="en-NL"/>
        </w:rPr>
      </w:pPr>
      <w:proofErr w:type="spellStart"/>
      <w:r w:rsidRPr="00470743">
        <w:rPr>
          <w:rFonts w:ascii="Arial" w:hAnsi="Arial" w:eastAsia="Times New Roman" w:cs="Arial"/>
          <w:b/>
          <w:bCs/>
          <w:color w:val="0B82C6"/>
          <w:kern w:val="36"/>
          <w:sz w:val="58"/>
          <w:szCs w:val="58"/>
          <w:lang w:eastAsia="en-NL"/>
        </w:rPr>
        <w:t>IJzer</w:t>
      </w:r>
      <w:proofErr w:type="spellEnd"/>
    </w:p>
    <w:p w:rsidRPr="00470743" w:rsidR="00470743" w:rsidP="00470743" w:rsidRDefault="00470743" w14:paraId="2FB8C718" w14:textId="77777777">
      <w:pPr>
        <w:spacing w:after="203" w:line="240" w:lineRule="auto"/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</w:pP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Ijzer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heeft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paar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belangrijke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rollen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in je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lichaam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.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Ijzer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:</w:t>
      </w:r>
    </w:p>
    <w:p w:rsidRPr="00470743" w:rsidR="00470743" w:rsidP="00470743" w:rsidRDefault="00470743" w14:paraId="5EBAAB93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</w:pPr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is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belangrijk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bestanddeel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van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hemoglobine</w:t>
      </w:r>
      <w:proofErr w:type="spellEnd"/>
    </w:p>
    <w:p w:rsidRPr="00470743" w:rsidR="00470743" w:rsidP="00470743" w:rsidRDefault="00470743" w14:paraId="3A5507A9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</w:pP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ondersteunt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je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immuunsysteem</w:t>
      </w:r>
      <w:proofErr w:type="spellEnd"/>
    </w:p>
    <w:p w:rsidRPr="00470743" w:rsidR="00470743" w:rsidP="00470743" w:rsidRDefault="00470743" w14:paraId="6B13AF64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</w:pP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draagt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bij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aan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normale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energiestofwisseling</w:t>
      </w:r>
      <w:proofErr w:type="spellEnd"/>
    </w:p>
    <w:p w:rsidRPr="00470743" w:rsidR="00470743" w:rsidP="00470743" w:rsidRDefault="00470743" w14:paraId="6D3C76BA" w14:textId="77777777">
      <w:pPr>
        <w:spacing w:after="203" w:line="240" w:lineRule="auto"/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</w:pP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Hemoglobine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is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onderdeel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van je rode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bloedcellen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.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Deze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rode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bloedcellen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vervoeren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zuurstof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van je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longen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naar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ieder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onderdeel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van je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lichaam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.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Zonder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zuurstof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kun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je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niet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, want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zuurstof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is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nodig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voor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de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verbranding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van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voedingsstoffen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in je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weefsels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waarbij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de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energie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vrijkomt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waarmee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jij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doet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wat je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doet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.</w:t>
      </w:r>
    </w:p>
    <w:p w:rsidRPr="00470743" w:rsidR="00470743" w:rsidP="00470743" w:rsidRDefault="00470743" w14:paraId="43A3B0E3" w14:textId="77777777">
      <w:pPr>
        <w:spacing w:after="203" w:line="360" w:lineRule="atLeast"/>
        <w:outlineLvl w:val="1"/>
        <w:rPr>
          <w:rFonts w:ascii="Arial" w:hAnsi="Arial" w:eastAsia="Times New Roman" w:cs="Arial"/>
          <w:b/>
          <w:bCs/>
          <w:color w:val="0B82C6"/>
          <w:sz w:val="36"/>
          <w:szCs w:val="36"/>
          <w:lang w:eastAsia="en-NL"/>
        </w:rPr>
      </w:pPr>
      <w:proofErr w:type="spellStart"/>
      <w:r w:rsidRPr="00470743">
        <w:rPr>
          <w:rFonts w:ascii="Arial" w:hAnsi="Arial" w:eastAsia="Times New Roman" w:cs="Arial"/>
          <w:b/>
          <w:bCs/>
          <w:color w:val="0B82C6"/>
          <w:sz w:val="36"/>
          <w:szCs w:val="36"/>
          <w:lang w:eastAsia="en-NL"/>
        </w:rPr>
        <w:t>Waar</w:t>
      </w:r>
      <w:proofErr w:type="spellEnd"/>
      <w:r w:rsidRPr="00470743">
        <w:rPr>
          <w:rFonts w:ascii="Arial" w:hAnsi="Arial" w:eastAsia="Times New Roman" w:cs="Arial"/>
          <w:b/>
          <w:bCs/>
          <w:color w:val="0B82C6"/>
          <w:sz w:val="36"/>
          <w:szCs w:val="36"/>
          <w:lang w:eastAsia="en-NL"/>
        </w:rPr>
        <w:t xml:space="preserve"> zit het in</w:t>
      </w:r>
    </w:p>
    <w:p w:rsidRPr="00470743" w:rsidR="00470743" w:rsidP="00470743" w:rsidRDefault="00470743" w14:paraId="79C5BCEB" w14:textId="77777777">
      <w:pPr>
        <w:spacing w:after="203" w:line="240" w:lineRule="auto"/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</w:pPr>
      <w:proofErr w:type="spellStart"/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Scheikundig</w:t>
      </w:r>
      <w:proofErr w:type="spellEnd"/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gezien</w:t>
      </w:r>
      <w:proofErr w:type="spellEnd"/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zijn</w:t>
      </w:r>
      <w:proofErr w:type="spellEnd"/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er 2 </w:t>
      </w:r>
      <w:proofErr w:type="spellStart"/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verschillende</w:t>
      </w:r>
      <w:proofErr w:type="spellEnd"/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soorten</w:t>
      </w:r>
      <w:proofErr w:type="spellEnd"/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ijzer</w:t>
      </w:r>
      <w:proofErr w:type="spellEnd"/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: </w:t>
      </w:r>
      <w:proofErr w:type="spellStart"/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heemijzer</w:t>
      </w:r>
      <w:proofErr w:type="spellEnd"/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en</w:t>
      </w:r>
      <w:proofErr w:type="spellEnd"/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non-</w:t>
      </w:r>
      <w:proofErr w:type="spellStart"/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heemijzer</w:t>
      </w:r>
      <w:proofErr w:type="spellEnd"/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. </w:t>
      </w:r>
      <w:proofErr w:type="spellStart"/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Heemijzer</w:t>
      </w:r>
      <w:proofErr w:type="spellEnd"/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vind</w:t>
      </w:r>
      <w:proofErr w:type="spellEnd"/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je </w:t>
      </w:r>
      <w:proofErr w:type="spellStart"/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vooral</w:t>
      </w:r>
      <w:proofErr w:type="spellEnd"/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in </w:t>
      </w:r>
      <w:proofErr w:type="spellStart"/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dierlijke</w:t>
      </w:r>
      <w:proofErr w:type="spellEnd"/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producten</w:t>
      </w:r>
      <w:proofErr w:type="spellEnd"/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zoals</w:t>
      </w:r>
      <w:proofErr w:type="spellEnd"/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vlees</w:t>
      </w:r>
      <w:proofErr w:type="spellEnd"/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. Non-</w:t>
      </w:r>
      <w:proofErr w:type="spellStart"/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heemijzer</w:t>
      </w:r>
      <w:proofErr w:type="spellEnd"/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komt</w:t>
      </w:r>
      <w:proofErr w:type="spellEnd"/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voor</w:t>
      </w:r>
      <w:proofErr w:type="spellEnd"/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in </w:t>
      </w:r>
      <w:proofErr w:type="spellStart"/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dierlijke</w:t>
      </w:r>
      <w:proofErr w:type="spellEnd"/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en</w:t>
      </w:r>
      <w:proofErr w:type="spellEnd"/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plantaardige</w:t>
      </w:r>
      <w:proofErr w:type="spellEnd"/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producten</w:t>
      </w:r>
      <w:proofErr w:type="spellEnd"/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, </w:t>
      </w:r>
      <w:proofErr w:type="spellStart"/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zoals</w:t>
      </w:r>
      <w:proofErr w:type="spellEnd"/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aardappelen</w:t>
      </w:r>
      <w:proofErr w:type="spellEnd"/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, brood </w:t>
      </w:r>
      <w:proofErr w:type="spellStart"/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en</w:t>
      </w:r>
      <w:proofErr w:type="spellEnd"/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groenten</w:t>
      </w:r>
      <w:proofErr w:type="spellEnd"/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.</w:t>
      </w:r>
    </w:p>
    <w:p w:rsidRPr="00470743" w:rsidR="00470743" w:rsidP="00470743" w:rsidRDefault="00470743" w14:paraId="7DD527A1" w14:textId="77777777">
      <w:pPr>
        <w:spacing w:after="203" w:line="360" w:lineRule="atLeast"/>
        <w:outlineLvl w:val="1"/>
        <w:rPr>
          <w:rFonts w:ascii="Arial" w:hAnsi="Arial" w:eastAsia="Times New Roman" w:cs="Arial"/>
          <w:b/>
          <w:bCs/>
          <w:color w:val="0B82C6"/>
          <w:sz w:val="36"/>
          <w:szCs w:val="36"/>
          <w:lang w:eastAsia="en-NL"/>
        </w:rPr>
      </w:pPr>
      <w:proofErr w:type="spellStart"/>
      <w:r w:rsidRPr="00470743">
        <w:rPr>
          <w:rFonts w:ascii="Arial" w:hAnsi="Arial" w:eastAsia="Times New Roman" w:cs="Arial"/>
          <w:b/>
          <w:bCs/>
          <w:color w:val="0B82C6"/>
          <w:sz w:val="36"/>
          <w:szCs w:val="36"/>
          <w:lang w:eastAsia="en-NL"/>
        </w:rPr>
        <w:t>Hoeveel</w:t>
      </w:r>
      <w:proofErr w:type="spellEnd"/>
      <w:r w:rsidRPr="00470743">
        <w:rPr>
          <w:rFonts w:ascii="Arial" w:hAnsi="Arial" w:eastAsia="Times New Roman" w:cs="Arial"/>
          <w:b/>
          <w:bCs/>
          <w:color w:val="0B82C6"/>
          <w:sz w:val="36"/>
          <w:szCs w:val="36"/>
          <w:lang w:eastAsia="en-NL"/>
        </w:rPr>
        <w:t xml:space="preserve"> </w:t>
      </w:r>
      <w:proofErr w:type="spellStart"/>
      <w:r w:rsidRPr="00470743">
        <w:rPr>
          <w:rFonts w:ascii="Arial" w:hAnsi="Arial" w:eastAsia="Times New Roman" w:cs="Arial"/>
          <w:b/>
          <w:bCs/>
          <w:color w:val="0B82C6"/>
          <w:sz w:val="36"/>
          <w:szCs w:val="36"/>
          <w:lang w:eastAsia="en-NL"/>
        </w:rPr>
        <w:t>heb</w:t>
      </w:r>
      <w:proofErr w:type="spellEnd"/>
      <w:r w:rsidRPr="00470743">
        <w:rPr>
          <w:rFonts w:ascii="Arial" w:hAnsi="Arial" w:eastAsia="Times New Roman" w:cs="Arial"/>
          <w:b/>
          <w:bCs/>
          <w:color w:val="0B82C6"/>
          <w:sz w:val="36"/>
          <w:szCs w:val="36"/>
          <w:lang w:eastAsia="en-NL"/>
        </w:rPr>
        <w:t xml:space="preserve"> </w:t>
      </w:r>
      <w:proofErr w:type="spellStart"/>
      <w:r w:rsidRPr="00470743">
        <w:rPr>
          <w:rFonts w:ascii="Arial" w:hAnsi="Arial" w:eastAsia="Times New Roman" w:cs="Arial"/>
          <w:b/>
          <w:bCs/>
          <w:color w:val="0B82C6"/>
          <w:sz w:val="36"/>
          <w:szCs w:val="36"/>
          <w:lang w:eastAsia="en-NL"/>
        </w:rPr>
        <w:t>ik</w:t>
      </w:r>
      <w:proofErr w:type="spellEnd"/>
      <w:r w:rsidRPr="00470743">
        <w:rPr>
          <w:rFonts w:ascii="Arial" w:hAnsi="Arial" w:eastAsia="Times New Roman" w:cs="Arial"/>
          <w:b/>
          <w:bCs/>
          <w:color w:val="0B82C6"/>
          <w:sz w:val="36"/>
          <w:szCs w:val="36"/>
          <w:lang w:eastAsia="en-NL"/>
        </w:rPr>
        <w:t xml:space="preserve"> </w:t>
      </w:r>
      <w:proofErr w:type="spellStart"/>
      <w:r w:rsidRPr="00470743">
        <w:rPr>
          <w:rFonts w:ascii="Arial" w:hAnsi="Arial" w:eastAsia="Times New Roman" w:cs="Arial"/>
          <w:b/>
          <w:bCs/>
          <w:color w:val="0B82C6"/>
          <w:sz w:val="36"/>
          <w:szCs w:val="36"/>
          <w:lang w:eastAsia="en-NL"/>
        </w:rPr>
        <w:t>nodig</w:t>
      </w:r>
      <w:proofErr w:type="spellEnd"/>
    </w:p>
    <w:p w:rsidRPr="00470743" w:rsidR="00470743" w:rsidP="00470743" w:rsidRDefault="00470743" w14:paraId="755E43D2" w14:textId="77777777">
      <w:pPr>
        <w:spacing w:after="203" w:line="240" w:lineRule="auto"/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</w:pPr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De 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aanbevolen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hoeveelheid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 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ijzer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is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afhankelijk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van je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leeftijd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je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geslacht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. De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aanbevolen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hoeveelheid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voor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volwassen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mannen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is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vastgesteld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op 11 mg.</w:t>
      </w:r>
    </w:p>
    <w:p w:rsidRPr="00470743" w:rsidR="00470743" w:rsidP="00470743" w:rsidRDefault="00470743" w14:paraId="3C5CC4B4" w14:textId="77777777">
      <w:pPr>
        <w:spacing w:after="203" w:line="240" w:lineRule="auto"/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</w:pP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Vrouwen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hebben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meer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ijzer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nodig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dan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mannen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,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doordat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vrouwen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bloed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verliezen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tijdens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hun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menstruatie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verliezen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ze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ook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ijzer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.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Ook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tijdens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zwangerschap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heeft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vrouw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meer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ijzer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nodig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voor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de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vorming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va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de placenta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de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ontwikkeling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van het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kindje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. De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aanbevolen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dagelijkse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hoeveelheid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ijzer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voor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volwassen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vrouwen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tot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aan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de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menopauze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is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daarom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16 mg. Na de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menopauze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,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wanneer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er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geen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ongesteldheid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of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kans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op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zwangerschap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meer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is,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wordt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nog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slechts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11 mg per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dag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geadviseerd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.</w:t>
      </w:r>
    </w:p>
    <w:p w:rsidRPr="00470743" w:rsidR="00470743" w:rsidP="16A5D591" w:rsidRDefault="00470743" w14:paraId="514ADDD6" w14:textId="1D596853">
      <w:pPr>
        <w:spacing w:after="203" w:line="240" w:lineRule="auto"/>
        <w:rPr>
          <w:rFonts w:ascii="Arial" w:hAnsi="Arial" w:eastAsia="Times New Roman" w:cs="Arial"/>
          <w:b w:val="1"/>
          <w:bCs w:val="1"/>
          <w:color w:val="0B82C6"/>
          <w:sz w:val="36"/>
          <w:szCs w:val="36"/>
          <w:lang w:eastAsia="en-NL"/>
        </w:rPr>
      </w:pPr>
      <w:proofErr w:type="spellStart"/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Voor</w:t>
      </w:r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kinderen</w:t>
      </w:r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tot </w:t>
      </w:r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en</w:t>
      </w:r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met 18 </w:t>
      </w:r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jaar</w:t>
      </w:r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verandert</w:t>
      </w:r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de </w:t>
      </w:r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aanbevolen</w:t>
      </w:r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dagelijkse</w:t>
      </w:r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hoeveelheid</w:t>
      </w:r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per </w:t>
      </w:r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levensfase</w:t>
      </w:r>
      <w:r w:rsidRPr="16A5D591" w:rsid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. 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Pr="00470743" w:rsidR="00470743" w:rsidP="16A5D591" w:rsidRDefault="00470743" w14:paraId="7D4CCC6A" w14:textId="65609180">
      <w:pPr>
        <w:spacing w:after="203" w:line="240" w:lineRule="auto"/>
        <w:rPr>
          <w:rFonts w:ascii="Arial" w:hAnsi="Arial" w:eastAsia="Times New Roman" w:cs="Arial"/>
          <w:b w:val="1"/>
          <w:bCs w:val="1"/>
          <w:color w:val="0B82C6"/>
          <w:sz w:val="36"/>
          <w:szCs w:val="36"/>
          <w:lang w:eastAsia="en-NL"/>
        </w:rPr>
      </w:pPr>
      <w:r w:rsidRPr="16A5D591" w:rsidR="00470743">
        <w:rPr>
          <w:rFonts w:ascii="Arial" w:hAnsi="Arial" w:eastAsia="Times New Roman" w:cs="Arial"/>
          <w:b w:val="1"/>
          <w:bCs w:val="1"/>
          <w:color w:val="0B82C6"/>
          <w:sz w:val="36"/>
          <w:szCs w:val="36"/>
          <w:lang w:eastAsia="en-NL"/>
        </w:rPr>
        <w:t>Factoren</w:t>
      </w:r>
      <w:r w:rsidRPr="16A5D591" w:rsidR="00470743">
        <w:rPr>
          <w:rFonts w:ascii="Arial" w:hAnsi="Arial" w:eastAsia="Times New Roman" w:cs="Arial"/>
          <w:b w:val="1"/>
          <w:bCs w:val="1"/>
          <w:color w:val="0B82C6"/>
          <w:sz w:val="36"/>
          <w:szCs w:val="36"/>
          <w:lang w:eastAsia="en-NL"/>
        </w:rPr>
        <w:t xml:space="preserve"> die de </w:t>
      </w:r>
      <w:r w:rsidRPr="16A5D591" w:rsidR="00470743">
        <w:rPr>
          <w:rFonts w:ascii="Arial" w:hAnsi="Arial" w:eastAsia="Times New Roman" w:cs="Arial"/>
          <w:b w:val="1"/>
          <w:bCs w:val="1"/>
          <w:color w:val="0B82C6"/>
          <w:sz w:val="36"/>
          <w:szCs w:val="36"/>
          <w:lang w:eastAsia="en-NL"/>
        </w:rPr>
        <w:t>opname</w:t>
      </w:r>
      <w:r w:rsidRPr="16A5D591" w:rsidR="00470743">
        <w:rPr>
          <w:rFonts w:ascii="Arial" w:hAnsi="Arial" w:eastAsia="Times New Roman" w:cs="Arial"/>
          <w:b w:val="1"/>
          <w:bCs w:val="1"/>
          <w:color w:val="0B82C6"/>
          <w:sz w:val="36"/>
          <w:szCs w:val="36"/>
          <w:lang w:eastAsia="en-NL"/>
        </w:rPr>
        <w:t xml:space="preserve"> van </w:t>
      </w:r>
      <w:r w:rsidRPr="16A5D591" w:rsidR="00470743">
        <w:rPr>
          <w:rFonts w:ascii="Arial" w:hAnsi="Arial" w:eastAsia="Times New Roman" w:cs="Arial"/>
          <w:b w:val="1"/>
          <w:bCs w:val="1"/>
          <w:color w:val="0B82C6"/>
          <w:sz w:val="36"/>
          <w:szCs w:val="36"/>
          <w:lang w:eastAsia="en-NL"/>
        </w:rPr>
        <w:t>ijzer</w:t>
      </w:r>
      <w:r w:rsidRPr="16A5D591" w:rsidR="00470743">
        <w:rPr>
          <w:rFonts w:ascii="Arial" w:hAnsi="Arial" w:eastAsia="Times New Roman" w:cs="Arial"/>
          <w:b w:val="1"/>
          <w:bCs w:val="1"/>
          <w:color w:val="0B82C6"/>
          <w:sz w:val="36"/>
          <w:szCs w:val="36"/>
          <w:lang w:eastAsia="en-NL"/>
        </w:rPr>
        <w:t xml:space="preserve"> </w:t>
      </w:r>
      <w:r w:rsidRPr="16A5D591" w:rsidR="00470743">
        <w:rPr>
          <w:rFonts w:ascii="Arial" w:hAnsi="Arial" w:eastAsia="Times New Roman" w:cs="Arial"/>
          <w:b w:val="1"/>
          <w:bCs w:val="1"/>
          <w:color w:val="0B82C6"/>
          <w:sz w:val="36"/>
          <w:szCs w:val="36"/>
          <w:lang w:eastAsia="en-NL"/>
        </w:rPr>
        <w:t>beïnvloeden</w:t>
      </w:r>
      <w:r w:rsidRPr="16A5D591" w:rsidR="00470743">
        <w:rPr>
          <w:rFonts w:ascii="Arial" w:hAnsi="Arial" w:eastAsia="Times New Roman" w:cs="Arial"/>
          <w:b w:val="1"/>
          <w:bCs w:val="1"/>
          <w:color w:val="0B82C6"/>
          <w:sz w:val="36"/>
          <w:szCs w:val="36"/>
          <w:lang w:eastAsia="en-NL"/>
        </w:rPr>
        <w:t> </w:t>
      </w:r>
    </w:p>
    <w:p w:rsidRPr="00470743" w:rsidR="00470743" w:rsidP="00470743" w:rsidRDefault="00470743" w14:paraId="064B05C2" w14:textId="77777777">
      <w:pPr>
        <w:spacing w:after="203" w:line="240" w:lineRule="auto"/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</w:pPr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De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opname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van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ijzer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wordt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beïnvloed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door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verschillende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 </w:t>
      </w:r>
      <w:proofErr w:type="spellStart"/>
      <w:r w:rsidRPr="00470743">
        <w:rPr>
          <w:rFonts w:ascii="Open Sans" w:hAnsi="Open Sans" w:eastAsia="Times New Roman" w:cs="Open Sans"/>
          <w:b/>
          <w:bCs/>
          <w:color w:val="333333"/>
          <w:sz w:val="23"/>
          <w:szCs w:val="23"/>
          <w:lang w:eastAsia="en-NL"/>
        </w:rPr>
        <w:t>fysiologische</w:t>
      </w:r>
      <w:proofErr w:type="spellEnd"/>
      <w:r w:rsidRPr="00470743">
        <w:rPr>
          <w:rFonts w:ascii="Open Sans" w:hAnsi="Open Sans" w:eastAsia="Times New Roman" w:cs="Open Sans"/>
          <w:b/>
          <w:bCs/>
          <w:color w:val="333333"/>
          <w:sz w:val="23"/>
          <w:szCs w:val="23"/>
          <w:lang w:eastAsia="en-NL"/>
        </w:rPr>
        <w:t> 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 </w:t>
      </w:r>
      <w:proofErr w:type="spellStart"/>
      <w:r w:rsidRPr="00470743">
        <w:rPr>
          <w:rFonts w:ascii="Open Sans" w:hAnsi="Open Sans" w:eastAsia="Times New Roman" w:cs="Open Sans"/>
          <w:b/>
          <w:bCs/>
          <w:color w:val="333333"/>
          <w:sz w:val="23"/>
          <w:szCs w:val="23"/>
          <w:lang w:eastAsia="en-NL"/>
        </w:rPr>
        <w:t>voedingsfactoren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.</w:t>
      </w:r>
    </w:p>
    <w:p w:rsidRPr="00470743" w:rsidR="00470743" w:rsidP="00470743" w:rsidRDefault="00470743" w14:paraId="072891B6" w14:textId="77777777">
      <w:pPr>
        <w:spacing w:after="203" w:line="300" w:lineRule="atLeast"/>
        <w:outlineLvl w:val="2"/>
        <w:rPr>
          <w:rFonts w:ascii="Arial" w:hAnsi="Arial" w:eastAsia="Times New Roman" w:cs="Arial"/>
          <w:b/>
          <w:bCs/>
          <w:color w:val="0B82C6"/>
          <w:sz w:val="30"/>
          <w:szCs w:val="30"/>
          <w:lang w:eastAsia="en-NL"/>
        </w:rPr>
      </w:pPr>
      <w:proofErr w:type="spellStart"/>
      <w:r w:rsidRPr="00470743">
        <w:rPr>
          <w:rFonts w:ascii="Arial" w:hAnsi="Arial" w:eastAsia="Times New Roman" w:cs="Arial"/>
          <w:b/>
          <w:bCs/>
          <w:color w:val="0B82C6"/>
          <w:sz w:val="30"/>
          <w:szCs w:val="30"/>
          <w:lang w:eastAsia="en-NL"/>
        </w:rPr>
        <w:t>Fysiologische</w:t>
      </w:r>
      <w:proofErr w:type="spellEnd"/>
      <w:r w:rsidRPr="00470743">
        <w:rPr>
          <w:rFonts w:ascii="Arial" w:hAnsi="Arial" w:eastAsia="Times New Roman" w:cs="Arial"/>
          <w:b/>
          <w:bCs/>
          <w:color w:val="0B82C6"/>
          <w:sz w:val="30"/>
          <w:szCs w:val="30"/>
          <w:lang w:eastAsia="en-NL"/>
        </w:rPr>
        <w:t xml:space="preserve"> </w:t>
      </w:r>
      <w:proofErr w:type="spellStart"/>
      <w:r w:rsidRPr="00470743">
        <w:rPr>
          <w:rFonts w:ascii="Arial" w:hAnsi="Arial" w:eastAsia="Times New Roman" w:cs="Arial"/>
          <w:b/>
          <w:bCs/>
          <w:color w:val="0B82C6"/>
          <w:sz w:val="30"/>
          <w:szCs w:val="30"/>
          <w:lang w:eastAsia="en-NL"/>
        </w:rPr>
        <w:t>factoren</w:t>
      </w:r>
      <w:proofErr w:type="spellEnd"/>
    </w:p>
    <w:p w:rsidRPr="00470743" w:rsidR="00470743" w:rsidP="00470743" w:rsidRDefault="00470743" w14:paraId="3A6AA95E" w14:textId="77777777">
      <w:pPr>
        <w:spacing w:after="203" w:line="240" w:lineRule="auto"/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</w:pP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lastRenderedPageBreak/>
        <w:t>Fysiologische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factoren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zijn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dingen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uit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jouw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leven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die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invloed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hebben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op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ijzer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in je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lichaam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:</w:t>
      </w:r>
    </w:p>
    <w:p w:rsidRPr="00470743" w:rsidR="00470743" w:rsidP="00470743" w:rsidRDefault="00470743" w14:paraId="28F0421B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</w:pPr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de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opname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van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ijzer</w:t>
      </w:r>
      <w:proofErr w:type="spellEnd"/>
    </w:p>
    <w:p w:rsidRPr="00470743" w:rsidR="00470743" w:rsidP="00470743" w:rsidRDefault="00470743" w14:paraId="2424E02D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</w:pPr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de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ijzervoorraad</w:t>
      </w:r>
      <w:proofErr w:type="spellEnd"/>
    </w:p>
    <w:p w:rsidRPr="00470743" w:rsidR="00470743" w:rsidP="00470743" w:rsidRDefault="00470743" w14:paraId="35B8D412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</w:pPr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de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ijzerbehoefte</w:t>
      </w:r>
      <w:proofErr w:type="spellEnd"/>
    </w:p>
    <w:p w:rsidRPr="00470743" w:rsidR="00470743" w:rsidP="00470743" w:rsidRDefault="00470743" w14:paraId="0EAC9973" w14:textId="77777777">
      <w:pPr>
        <w:spacing w:after="203" w:line="240" w:lineRule="auto"/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</w:pP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Wanneer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de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ijzervoorraad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in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jouw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lichaam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laag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is of je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hogere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behoefte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aan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ijzer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hebt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, dan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neemt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je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lichaam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automatisch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meer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ijzer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op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uit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je eten.</w:t>
      </w:r>
    </w:p>
    <w:p w:rsidRPr="00470743" w:rsidR="00470743" w:rsidP="00470743" w:rsidRDefault="00470743" w14:paraId="0E877B44" w14:textId="77777777">
      <w:pPr>
        <w:spacing w:after="203" w:line="240" w:lineRule="auto"/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</w:pPr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De mate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waarin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jouw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lichaam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behoefte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heeft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aan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ijzer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hangt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af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van je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leeftijd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, je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geslacht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de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hoeveelheid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ijzer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je al in je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lichaam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hebt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.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Groepen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mensen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met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hogere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behoefte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aan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ijzer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zijn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:</w:t>
      </w:r>
    </w:p>
    <w:p w:rsidRPr="00470743" w:rsidR="00470743" w:rsidP="00470743" w:rsidRDefault="00470743" w14:paraId="7E9092CD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</w:pP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kinderen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jonger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dan 3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jaar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.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Kinderen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lopen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eerder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risico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op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ijzertekort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doordat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zij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extra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veel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ijzer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verbruiken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om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hun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denkvermogen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spiercoördinatie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te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ontwikkelen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.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tekort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aan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ijzer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kan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leiden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tot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minder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goed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functionerend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geheugen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verstoord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leergedrag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veroorzaken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.</w:t>
      </w:r>
    </w:p>
    <w:p w:rsidRPr="00470743" w:rsidR="00470743" w:rsidP="00470743" w:rsidRDefault="00470743" w14:paraId="0B5CBE08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</w:pP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jongvolwassen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meisjes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menstruerende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vrouwen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. Door het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bloedverlies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tijdens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menstruatie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lopen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meisjes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vrouwen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meer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risico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op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tekort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aan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ijzer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.</w:t>
      </w:r>
    </w:p>
    <w:p w:rsidRPr="00470743" w:rsidR="00470743" w:rsidP="00470743" w:rsidRDefault="00470743" w14:paraId="7FF3009C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</w:pPr>
      <w:hyperlink w:tgtFrame="_blank" w:tooltip="Opent interne link in huidig scherm" w:history="1" r:id="rId6">
        <w:proofErr w:type="spellStart"/>
        <w:r w:rsidRPr="00470743">
          <w:rPr>
            <w:rFonts w:ascii="Open Sans" w:hAnsi="Open Sans" w:eastAsia="Times New Roman" w:cs="Open Sans"/>
            <w:color w:val="FF8700"/>
            <w:sz w:val="23"/>
            <w:szCs w:val="23"/>
            <w:lang w:eastAsia="en-NL"/>
          </w:rPr>
          <w:t>zwangere</w:t>
        </w:r>
        <w:proofErr w:type="spellEnd"/>
        <w:r w:rsidRPr="00470743">
          <w:rPr>
            <w:rFonts w:ascii="Open Sans" w:hAnsi="Open Sans" w:eastAsia="Times New Roman" w:cs="Open Sans"/>
            <w:color w:val="FF8700"/>
            <w:sz w:val="23"/>
            <w:szCs w:val="23"/>
            <w:lang w:eastAsia="en-NL"/>
          </w:rPr>
          <w:t xml:space="preserve"> </w:t>
        </w:r>
        <w:proofErr w:type="spellStart"/>
        <w:r w:rsidRPr="00470743">
          <w:rPr>
            <w:rFonts w:ascii="Open Sans" w:hAnsi="Open Sans" w:eastAsia="Times New Roman" w:cs="Open Sans"/>
            <w:color w:val="FF8700"/>
            <w:sz w:val="23"/>
            <w:szCs w:val="23"/>
            <w:lang w:eastAsia="en-NL"/>
          </w:rPr>
          <w:t>vrouwen</w:t>
        </w:r>
        <w:proofErr w:type="spellEnd"/>
      </w:hyperlink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.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Doordat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zwangere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vrouwen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ijzer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leveren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voor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de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hemoglobine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in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hun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eigen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lichaam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dat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van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hun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baby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lopen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meer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risico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op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ijzertekort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.</w:t>
      </w:r>
    </w:p>
    <w:p w:rsidRPr="00470743" w:rsidR="00470743" w:rsidP="00470743" w:rsidRDefault="00470743" w14:paraId="286B5A5B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</w:pP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mensen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met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bloedarmoede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door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laag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hemoglobinegehalte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.</w:t>
      </w:r>
    </w:p>
    <w:p w:rsidRPr="00470743" w:rsidR="00470743" w:rsidP="00470743" w:rsidRDefault="00470743" w14:paraId="39762E4D" w14:textId="77777777">
      <w:pPr>
        <w:spacing w:after="203" w:line="300" w:lineRule="atLeast"/>
        <w:outlineLvl w:val="2"/>
        <w:rPr>
          <w:rFonts w:ascii="Arial" w:hAnsi="Arial" w:eastAsia="Times New Roman" w:cs="Arial"/>
          <w:b/>
          <w:bCs/>
          <w:color w:val="0B82C6"/>
          <w:sz w:val="30"/>
          <w:szCs w:val="30"/>
          <w:lang w:eastAsia="en-NL"/>
        </w:rPr>
      </w:pPr>
      <w:proofErr w:type="spellStart"/>
      <w:r w:rsidRPr="00470743">
        <w:rPr>
          <w:rFonts w:ascii="Arial" w:hAnsi="Arial" w:eastAsia="Times New Roman" w:cs="Arial"/>
          <w:b/>
          <w:bCs/>
          <w:color w:val="0B82C6"/>
          <w:sz w:val="30"/>
          <w:szCs w:val="30"/>
          <w:lang w:eastAsia="en-NL"/>
        </w:rPr>
        <w:t>Voedingsfactoren</w:t>
      </w:r>
      <w:proofErr w:type="spellEnd"/>
    </w:p>
    <w:p w:rsidRPr="00470743" w:rsidR="00470743" w:rsidP="00470743" w:rsidRDefault="00470743" w14:paraId="05DB0044" w14:textId="77777777">
      <w:pPr>
        <w:spacing w:after="203" w:line="240" w:lineRule="auto"/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</w:pP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Ook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je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voeding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speelt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grote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rol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bij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de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opname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van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ijzer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.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Heem-ijzer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wordt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beter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door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ons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lichaam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opgenomen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dan non-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heemijzer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.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Enkele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voedingsfactoren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zijn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:</w:t>
      </w:r>
    </w:p>
    <w:p w:rsidRPr="00470743" w:rsidR="00470743" w:rsidP="00470743" w:rsidRDefault="00470743" w14:paraId="3DA5DE56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</w:pP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Koffie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thee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verlagen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de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opname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van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zowel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heemijzer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als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non-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heemijzer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.</w:t>
      </w:r>
    </w:p>
    <w:p w:rsidRPr="00470743" w:rsidR="00470743" w:rsidP="00470743" w:rsidRDefault="00470743" w14:paraId="1F4F5479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</w:pPr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Van </w:t>
      </w:r>
      <w:hyperlink w:tgtFrame="_blank" w:tooltip="Opent interne link in huidig scherm" w:history="1" r:id="rId7">
        <w:r w:rsidRPr="00470743">
          <w:rPr>
            <w:rFonts w:ascii="Open Sans" w:hAnsi="Open Sans" w:eastAsia="Times New Roman" w:cs="Open Sans"/>
            <w:color w:val="FF8700"/>
            <w:sz w:val="23"/>
            <w:szCs w:val="23"/>
            <w:lang w:eastAsia="en-NL"/>
          </w:rPr>
          <w:t>calcium</w:t>
        </w:r>
      </w:hyperlink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 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wordt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gezegd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dat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het de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ijzeropname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remt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.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Dit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komt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weinig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voor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, want het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gebeurt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alleen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wanneer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er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bijzonder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veel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calcium in je eten zit.</w:t>
      </w:r>
    </w:p>
    <w:p w:rsidRPr="00470743" w:rsidR="00470743" w:rsidP="067393AD" w:rsidRDefault="00470743" w14:paraId="41686785" w14:textId="055D8F03">
      <w:pPr>
        <w:numPr>
          <w:ilvl w:val="0"/>
          <w:numId w:val="6"/>
        </w:numPr>
        <w:spacing w:before="100" w:beforeAutospacing="on" w:after="100" w:afterAutospacing="on" w:line="240" w:lineRule="auto"/>
        <w:rPr>
          <w:rFonts w:ascii="Open Sans" w:hAnsi="Open Sans" w:eastAsia="Times New Roman" w:cs="Open Sans"/>
          <w:color w:val="333333"/>
          <w:sz w:val="23"/>
          <w:szCs w:val="23"/>
          <w:lang w:eastAsia="en-IL"/>
        </w:rPr>
      </w:pPr>
      <w:r w:rsidRPr="067393AD" w:rsidR="00470743">
        <w:rPr>
          <w:rFonts w:ascii="Open Sans" w:hAnsi="Open Sans" w:eastAsia="Times New Roman" w:cs="Open Sans"/>
          <w:color w:val="333333"/>
          <w:sz w:val="23"/>
          <w:szCs w:val="23"/>
          <w:lang w:eastAsia="en-IL"/>
        </w:rPr>
        <w:t>Vlees</w:t>
      </w:r>
      <w:r w:rsidRPr="067393AD" w:rsidR="00470743">
        <w:rPr>
          <w:rFonts w:ascii="Open Sans" w:hAnsi="Open Sans" w:eastAsia="Times New Roman" w:cs="Open Sans"/>
          <w:color w:val="333333"/>
          <w:sz w:val="23"/>
          <w:szCs w:val="23"/>
          <w:lang w:eastAsia="en-IL"/>
        </w:rPr>
        <w:t xml:space="preserve">, vis </w:t>
      </w:r>
      <w:r w:rsidRPr="067393AD" w:rsidR="00470743">
        <w:rPr>
          <w:rFonts w:ascii="Open Sans" w:hAnsi="Open Sans" w:eastAsia="Times New Roman" w:cs="Open Sans"/>
          <w:color w:val="333333"/>
          <w:sz w:val="23"/>
          <w:szCs w:val="23"/>
          <w:lang w:eastAsia="en-IL"/>
        </w:rPr>
        <w:t>en</w:t>
      </w:r>
      <w:r w:rsidRPr="067393AD" w:rsidR="40C2F7C0">
        <w:rPr>
          <w:rFonts w:ascii="Open Sans" w:hAnsi="Open Sans" w:eastAsia="Times New Roman" w:cs="Open Sans"/>
          <w:color w:val="333333"/>
          <w:sz w:val="23"/>
          <w:szCs w:val="23"/>
          <w:lang w:eastAsia="en-IL"/>
        </w:rPr>
        <w:t xml:space="preserve"> vitamin C </w:t>
      </w:r>
      <w:r w:rsidRPr="067393AD" w:rsidR="00470743">
        <w:rPr>
          <w:rFonts w:ascii="Open Sans" w:hAnsi="Open Sans" w:eastAsia="Times New Roman" w:cs="Open Sans"/>
          <w:color w:val="333333"/>
          <w:sz w:val="23"/>
          <w:szCs w:val="23"/>
          <w:lang w:eastAsia="en-IL"/>
        </w:rPr>
        <w:t>verhogen</w:t>
      </w:r>
      <w:r w:rsidRPr="067393AD" w:rsidR="00470743">
        <w:rPr>
          <w:rFonts w:ascii="Open Sans" w:hAnsi="Open Sans" w:eastAsia="Times New Roman" w:cs="Open Sans"/>
          <w:color w:val="333333"/>
          <w:sz w:val="23"/>
          <w:szCs w:val="23"/>
          <w:lang w:eastAsia="en-IL"/>
        </w:rPr>
        <w:t xml:space="preserve"> de </w:t>
      </w:r>
      <w:r w:rsidRPr="067393AD" w:rsidR="00470743">
        <w:rPr>
          <w:rFonts w:ascii="Open Sans" w:hAnsi="Open Sans" w:eastAsia="Times New Roman" w:cs="Open Sans"/>
          <w:color w:val="333333"/>
          <w:sz w:val="23"/>
          <w:szCs w:val="23"/>
          <w:lang w:eastAsia="en-IL"/>
        </w:rPr>
        <w:t>opname</w:t>
      </w:r>
      <w:r w:rsidRPr="067393AD" w:rsidR="00470743">
        <w:rPr>
          <w:rFonts w:ascii="Open Sans" w:hAnsi="Open Sans" w:eastAsia="Times New Roman" w:cs="Open Sans"/>
          <w:color w:val="333333"/>
          <w:sz w:val="23"/>
          <w:szCs w:val="23"/>
          <w:lang w:eastAsia="en-IL"/>
        </w:rPr>
        <w:t xml:space="preserve"> van non-</w:t>
      </w:r>
      <w:r w:rsidRPr="067393AD" w:rsidR="00470743">
        <w:rPr>
          <w:rFonts w:ascii="Open Sans" w:hAnsi="Open Sans" w:eastAsia="Times New Roman" w:cs="Open Sans"/>
          <w:color w:val="333333"/>
          <w:sz w:val="23"/>
          <w:szCs w:val="23"/>
          <w:lang w:eastAsia="en-IL"/>
        </w:rPr>
        <w:t>heemijzer</w:t>
      </w:r>
      <w:r w:rsidRPr="067393AD" w:rsidR="00470743">
        <w:rPr>
          <w:rFonts w:ascii="Open Sans" w:hAnsi="Open Sans" w:eastAsia="Times New Roman" w:cs="Open Sans"/>
          <w:color w:val="333333"/>
          <w:sz w:val="23"/>
          <w:szCs w:val="23"/>
          <w:lang w:eastAsia="en-IL"/>
        </w:rPr>
        <w:t>.</w:t>
      </w:r>
    </w:p>
    <w:p w:rsidRPr="00470743" w:rsidR="00470743" w:rsidP="00470743" w:rsidRDefault="00470743" w14:paraId="5D5830AE" w14:textId="77777777">
      <w:pPr>
        <w:spacing w:after="203" w:line="360" w:lineRule="atLeast"/>
        <w:outlineLvl w:val="1"/>
        <w:rPr>
          <w:rFonts w:ascii="Arial" w:hAnsi="Arial" w:eastAsia="Times New Roman" w:cs="Arial"/>
          <w:b/>
          <w:bCs/>
          <w:color w:val="0B82C6"/>
          <w:sz w:val="36"/>
          <w:szCs w:val="36"/>
          <w:lang w:eastAsia="en-NL"/>
        </w:rPr>
      </w:pPr>
      <w:r w:rsidRPr="00470743">
        <w:rPr>
          <w:rFonts w:ascii="Arial" w:hAnsi="Arial" w:eastAsia="Times New Roman" w:cs="Arial"/>
          <w:b/>
          <w:bCs/>
          <w:color w:val="0B82C6"/>
          <w:sz w:val="36"/>
          <w:szCs w:val="36"/>
          <w:lang w:eastAsia="en-NL"/>
        </w:rPr>
        <w:t xml:space="preserve">Wat is </w:t>
      </w:r>
      <w:proofErr w:type="spellStart"/>
      <w:r w:rsidRPr="00470743">
        <w:rPr>
          <w:rFonts w:ascii="Arial" w:hAnsi="Arial" w:eastAsia="Times New Roman" w:cs="Arial"/>
          <w:b/>
          <w:bCs/>
          <w:color w:val="0B82C6"/>
          <w:sz w:val="36"/>
          <w:szCs w:val="36"/>
          <w:lang w:eastAsia="en-NL"/>
        </w:rPr>
        <w:t>veilig</w:t>
      </w:r>
      <w:proofErr w:type="spellEnd"/>
    </w:p>
    <w:p w:rsidRPr="00470743" w:rsidR="00470743" w:rsidP="00470743" w:rsidRDefault="00470743" w14:paraId="1B507B79" w14:textId="77777777">
      <w:pPr>
        <w:spacing w:after="203" w:line="240" w:lineRule="auto"/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</w:pP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Vanuit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onze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Nederlandse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Gezondheidsraad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is er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geen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uitspraak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over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teveel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aan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ijzer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.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Daarom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kijken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we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verder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:</w:t>
      </w:r>
    </w:p>
    <w:p w:rsidRPr="00470743" w:rsidR="00470743" w:rsidP="00470743" w:rsidRDefault="00470743" w14:paraId="799D98E3" w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</w:pPr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de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Europese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Voedsel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-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Warenautoriteit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heeft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geen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bovengrens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voor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teveel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aan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ijzer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vastgesteld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.</w:t>
      </w:r>
    </w:p>
    <w:p w:rsidRPr="00470743" w:rsidR="00470743" w:rsidP="00470743" w:rsidRDefault="00470743" w14:paraId="2DFF24B1" w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</w:pPr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de Nordic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Councel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of Ministers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houdt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25mg per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dag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aan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.</w:t>
      </w:r>
    </w:p>
    <w:p w:rsidRPr="00470743" w:rsidR="00470743" w:rsidP="00470743" w:rsidRDefault="00470743" w14:paraId="302F6741" w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</w:pPr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lastRenderedPageBreak/>
        <w:t xml:space="preserve">het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Amerikaanse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Institute of Medicine,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afgekort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IOM,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houdt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45 mg per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dag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aan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. </w:t>
      </w:r>
    </w:p>
    <w:p w:rsidRPr="00470743" w:rsidR="00470743" w:rsidP="00470743" w:rsidRDefault="00470743" w14:paraId="2598F0FF" w14:textId="77777777">
      <w:pPr>
        <w:spacing w:after="203" w:line="240" w:lineRule="auto"/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</w:pP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Ook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voor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mensen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die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lijden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aan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ijzerstapelingsziekte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,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bijvoorbeeld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hemochromatose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, is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geen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maximaal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veilige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dosis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vast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te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stellen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.</w:t>
      </w:r>
    </w:p>
    <w:p w:rsidRPr="00470743" w:rsidR="00470743" w:rsidP="00470743" w:rsidRDefault="00470743" w14:paraId="77622BF1" w14:textId="77777777">
      <w:pPr>
        <w:spacing w:after="203" w:line="360" w:lineRule="atLeast"/>
        <w:outlineLvl w:val="1"/>
        <w:rPr>
          <w:rFonts w:ascii="Arial" w:hAnsi="Arial" w:eastAsia="Times New Roman" w:cs="Arial"/>
          <w:b/>
          <w:bCs/>
          <w:color w:val="0B82C6"/>
          <w:sz w:val="36"/>
          <w:szCs w:val="36"/>
          <w:lang w:eastAsia="en-NL"/>
        </w:rPr>
      </w:pPr>
      <w:r w:rsidRPr="00470743">
        <w:rPr>
          <w:rFonts w:ascii="Arial" w:hAnsi="Arial" w:eastAsia="Times New Roman" w:cs="Arial"/>
          <w:b/>
          <w:bCs/>
          <w:color w:val="0B82C6"/>
          <w:sz w:val="36"/>
          <w:szCs w:val="36"/>
          <w:lang w:eastAsia="en-NL"/>
        </w:rPr>
        <w:t xml:space="preserve">De </w:t>
      </w:r>
      <w:proofErr w:type="spellStart"/>
      <w:r w:rsidRPr="00470743">
        <w:rPr>
          <w:rFonts w:ascii="Arial" w:hAnsi="Arial" w:eastAsia="Times New Roman" w:cs="Arial"/>
          <w:b/>
          <w:bCs/>
          <w:color w:val="0B82C6"/>
          <w:sz w:val="36"/>
          <w:szCs w:val="36"/>
          <w:lang w:eastAsia="en-NL"/>
        </w:rPr>
        <w:t>gevolgen</w:t>
      </w:r>
      <w:proofErr w:type="spellEnd"/>
      <w:r w:rsidRPr="00470743">
        <w:rPr>
          <w:rFonts w:ascii="Arial" w:hAnsi="Arial" w:eastAsia="Times New Roman" w:cs="Arial"/>
          <w:b/>
          <w:bCs/>
          <w:color w:val="0B82C6"/>
          <w:sz w:val="36"/>
          <w:szCs w:val="36"/>
          <w:lang w:eastAsia="en-NL"/>
        </w:rPr>
        <w:t xml:space="preserve"> van </w:t>
      </w:r>
      <w:proofErr w:type="spellStart"/>
      <w:r w:rsidRPr="00470743">
        <w:rPr>
          <w:rFonts w:ascii="Arial" w:hAnsi="Arial" w:eastAsia="Times New Roman" w:cs="Arial"/>
          <w:b/>
          <w:bCs/>
          <w:color w:val="0B82C6"/>
          <w:sz w:val="36"/>
          <w:szCs w:val="36"/>
          <w:lang w:eastAsia="en-NL"/>
        </w:rPr>
        <w:t>een</w:t>
      </w:r>
      <w:proofErr w:type="spellEnd"/>
      <w:r w:rsidRPr="00470743">
        <w:rPr>
          <w:rFonts w:ascii="Arial" w:hAnsi="Arial" w:eastAsia="Times New Roman" w:cs="Arial"/>
          <w:b/>
          <w:bCs/>
          <w:color w:val="0B82C6"/>
          <w:sz w:val="36"/>
          <w:szCs w:val="36"/>
          <w:lang w:eastAsia="en-NL"/>
        </w:rPr>
        <w:t xml:space="preserve"> </w:t>
      </w:r>
      <w:proofErr w:type="spellStart"/>
      <w:r w:rsidRPr="00470743">
        <w:rPr>
          <w:rFonts w:ascii="Arial" w:hAnsi="Arial" w:eastAsia="Times New Roman" w:cs="Arial"/>
          <w:b/>
          <w:bCs/>
          <w:color w:val="0B82C6"/>
          <w:sz w:val="36"/>
          <w:szCs w:val="36"/>
          <w:lang w:eastAsia="en-NL"/>
        </w:rPr>
        <w:t>ijzer</w:t>
      </w:r>
      <w:proofErr w:type="spellEnd"/>
      <w:r w:rsidRPr="00470743">
        <w:rPr>
          <w:rFonts w:ascii="Arial" w:hAnsi="Arial" w:eastAsia="Times New Roman" w:cs="Arial"/>
          <w:b/>
          <w:bCs/>
          <w:color w:val="0B82C6"/>
          <w:sz w:val="36"/>
          <w:szCs w:val="36"/>
          <w:lang w:eastAsia="en-NL"/>
        </w:rPr>
        <w:t xml:space="preserve"> </w:t>
      </w:r>
      <w:proofErr w:type="spellStart"/>
      <w:r w:rsidRPr="00470743">
        <w:rPr>
          <w:rFonts w:ascii="Arial" w:hAnsi="Arial" w:eastAsia="Times New Roman" w:cs="Arial"/>
          <w:b/>
          <w:bCs/>
          <w:color w:val="0B82C6"/>
          <w:sz w:val="36"/>
          <w:szCs w:val="36"/>
          <w:lang w:eastAsia="en-NL"/>
        </w:rPr>
        <w:t>tekort</w:t>
      </w:r>
      <w:proofErr w:type="spellEnd"/>
      <w:r w:rsidRPr="00470743">
        <w:rPr>
          <w:rFonts w:ascii="Arial" w:hAnsi="Arial" w:eastAsia="Times New Roman" w:cs="Arial"/>
          <w:b/>
          <w:bCs/>
          <w:color w:val="0B82C6"/>
          <w:sz w:val="36"/>
          <w:szCs w:val="36"/>
          <w:lang w:eastAsia="en-NL"/>
        </w:rPr>
        <w:t> </w:t>
      </w:r>
    </w:p>
    <w:p w:rsidRPr="00470743" w:rsidR="00470743" w:rsidP="00470743" w:rsidRDefault="00470743" w14:paraId="0C3CBD6E" w14:textId="77777777">
      <w:pPr>
        <w:spacing w:after="203" w:line="240" w:lineRule="auto"/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</w:pP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Bij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tekort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aan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ijzer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kunnen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er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verschillende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klachten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ontstaan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:</w:t>
      </w:r>
    </w:p>
    <w:p w:rsidRPr="00470743" w:rsidR="00470743" w:rsidP="00470743" w:rsidRDefault="00470743" w14:paraId="113BE8A0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</w:pP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duizeligheid</w:t>
      </w:r>
      <w:proofErr w:type="spellEnd"/>
    </w:p>
    <w:p w:rsidRPr="00470743" w:rsidR="00470743" w:rsidP="00470743" w:rsidRDefault="00470743" w14:paraId="4257F66D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</w:pP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verminderd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concentratievermogen</w:t>
      </w:r>
      <w:proofErr w:type="spellEnd"/>
    </w:p>
    <w:p w:rsidRPr="00470743" w:rsidR="00470743" w:rsidP="00470743" w:rsidRDefault="00470743" w14:paraId="43958532" w14:textId="77777777">
      <w:pPr>
        <w:spacing w:after="203" w:line="240" w:lineRule="auto"/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</w:pP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duidelijk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tekort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aan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ijzer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leidt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tot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bloedarmoede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,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dit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noemen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we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anemie</w:t>
      </w:r>
      <w:proofErr w:type="spellEnd"/>
    </w:p>
    <w:p w:rsidRPr="00470743" w:rsidR="00470743" w:rsidP="00470743" w:rsidRDefault="00470743" w14:paraId="5A23A195" w14:textId="77777777">
      <w:pPr>
        <w:spacing w:after="203" w:line="360" w:lineRule="atLeast"/>
        <w:outlineLvl w:val="1"/>
        <w:rPr>
          <w:rFonts w:ascii="Arial" w:hAnsi="Arial" w:eastAsia="Times New Roman" w:cs="Arial"/>
          <w:b/>
          <w:bCs/>
          <w:color w:val="0B82C6"/>
          <w:sz w:val="36"/>
          <w:szCs w:val="36"/>
          <w:lang w:eastAsia="en-NL"/>
        </w:rPr>
      </w:pPr>
      <w:r w:rsidRPr="00470743">
        <w:rPr>
          <w:rFonts w:ascii="Arial" w:hAnsi="Arial" w:eastAsia="Times New Roman" w:cs="Arial"/>
          <w:b/>
          <w:bCs/>
          <w:color w:val="0B82C6"/>
          <w:sz w:val="36"/>
          <w:szCs w:val="36"/>
          <w:lang w:eastAsia="en-NL"/>
        </w:rPr>
        <w:t xml:space="preserve">De </w:t>
      </w:r>
      <w:proofErr w:type="spellStart"/>
      <w:r w:rsidRPr="00470743">
        <w:rPr>
          <w:rFonts w:ascii="Arial" w:hAnsi="Arial" w:eastAsia="Times New Roman" w:cs="Arial"/>
          <w:b/>
          <w:bCs/>
          <w:color w:val="0B82C6"/>
          <w:sz w:val="36"/>
          <w:szCs w:val="36"/>
          <w:lang w:eastAsia="en-NL"/>
        </w:rPr>
        <w:t>gevolgen</w:t>
      </w:r>
      <w:proofErr w:type="spellEnd"/>
      <w:r w:rsidRPr="00470743">
        <w:rPr>
          <w:rFonts w:ascii="Arial" w:hAnsi="Arial" w:eastAsia="Times New Roman" w:cs="Arial"/>
          <w:b/>
          <w:bCs/>
          <w:color w:val="0B82C6"/>
          <w:sz w:val="36"/>
          <w:szCs w:val="36"/>
          <w:lang w:eastAsia="en-NL"/>
        </w:rPr>
        <w:t xml:space="preserve"> van </w:t>
      </w:r>
      <w:proofErr w:type="spellStart"/>
      <w:r w:rsidRPr="00470743">
        <w:rPr>
          <w:rFonts w:ascii="Arial" w:hAnsi="Arial" w:eastAsia="Times New Roman" w:cs="Arial"/>
          <w:b/>
          <w:bCs/>
          <w:color w:val="0B82C6"/>
          <w:sz w:val="36"/>
          <w:szCs w:val="36"/>
          <w:lang w:eastAsia="en-NL"/>
        </w:rPr>
        <w:t>te</w:t>
      </w:r>
      <w:proofErr w:type="spellEnd"/>
      <w:r w:rsidRPr="00470743">
        <w:rPr>
          <w:rFonts w:ascii="Arial" w:hAnsi="Arial" w:eastAsia="Times New Roman" w:cs="Arial"/>
          <w:b/>
          <w:bCs/>
          <w:color w:val="0B82C6"/>
          <w:sz w:val="36"/>
          <w:szCs w:val="36"/>
          <w:lang w:eastAsia="en-NL"/>
        </w:rPr>
        <w:t xml:space="preserve"> </w:t>
      </w:r>
      <w:proofErr w:type="spellStart"/>
      <w:r w:rsidRPr="00470743">
        <w:rPr>
          <w:rFonts w:ascii="Arial" w:hAnsi="Arial" w:eastAsia="Times New Roman" w:cs="Arial"/>
          <w:b/>
          <w:bCs/>
          <w:color w:val="0B82C6"/>
          <w:sz w:val="36"/>
          <w:szCs w:val="36"/>
          <w:lang w:eastAsia="en-NL"/>
        </w:rPr>
        <w:t>veel</w:t>
      </w:r>
      <w:proofErr w:type="spellEnd"/>
      <w:r w:rsidRPr="00470743">
        <w:rPr>
          <w:rFonts w:ascii="Arial" w:hAnsi="Arial" w:eastAsia="Times New Roman" w:cs="Arial"/>
          <w:b/>
          <w:bCs/>
          <w:color w:val="0B82C6"/>
          <w:sz w:val="36"/>
          <w:szCs w:val="36"/>
          <w:lang w:eastAsia="en-NL"/>
        </w:rPr>
        <w:t xml:space="preserve"> </w:t>
      </w:r>
      <w:proofErr w:type="spellStart"/>
      <w:r w:rsidRPr="00470743">
        <w:rPr>
          <w:rFonts w:ascii="Arial" w:hAnsi="Arial" w:eastAsia="Times New Roman" w:cs="Arial"/>
          <w:b/>
          <w:bCs/>
          <w:color w:val="0B82C6"/>
          <w:sz w:val="36"/>
          <w:szCs w:val="36"/>
          <w:lang w:eastAsia="en-NL"/>
        </w:rPr>
        <w:t>ijzer</w:t>
      </w:r>
      <w:proofErr w:type="spellEnd"/>
    </w:p>
    <w:p w:rsidRPr="00470743" w:rsidR="00470743" w:rsidP="00470743" w:rsidRDefault="00470743" w14:paraId="23FAC9D7" w14:textId="77777777">
      <w:pPr>
        <w:spacing w:after="203" w:line="240" w:lineRule="auto"/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</w:pP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te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hoog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ijzergehalte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in het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lichaam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kan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leiden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tot:</w:t>
      </w:r>
    </w:p>
    <w:p w:rsidRPr="00470743" w:rsidR="00470743" w:rsidP="00470743" w:rsidRDefault="00470743" w14:paraId="671E087B" w14:textId="777777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</w:pP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chronische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vermoeidheid</w:t>
      </w:r>
      <w:proofErr w:type="spellEnd"/>
    </w:p>
    <w:p w:rsidRPr="00470743" w:rsidR="00470743" w:rsidP="00470743" w:rsidRDefault="00470743" w14:paraId="06384C8D" w14:textId="777777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</w:pP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beschadiging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van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organen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zoals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de lever, de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darmen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</w:t>
      </w:r>
      <w:proofErr w:type="spellStart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>en</w:t>
      </w:r>
      <w:proofErr w:type="spellEnd"/>
      <w:r w:rsidRPr="00470743">
        <w:rPr>
          <w:rFonts w:ascii="Open Sans" w:hAnsi="Open Sans" w:eastAsia="Times New Roman" w:cs="Open Sans"/>
          <w:color w:val="333333"/>
          <w:sz w:val="23"/>
          <w:szCs w:val="23"/>
          <w:lang w:eastAsia="en-NL"/>
        </w:rPr>
        <w:t xml:space="preserve"> het hart.</w:t>
      </w:r>
    </w:p>
    <w:p w:rsidR="00023D6F" w:rsidRDefault="00023D6F" w14:paraId="6432C32A" w14:textId="77777777"/>
    <w:sectPr w:rsidR="00023D6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563F"/>
    <w:multiLevelType w:val="multilevel"/>
    <w:tmpl w:val="EBB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BDC2DA9"/>
    <w:multiLevelType w:val="multilevel"/>
    <w:tmpl w:val="DF8EE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1AC75D1"/>
    <w:multiLevelType w:val="multilevel"/>
    <w:tmpl w:val="5BEC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2DA4F3A"/>
    <w:multiLevelType w:val="multilevel"/>
    <w:tmpl w:val="4FFC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D804834"/>
    <w:multiLevelType w:val="multilevel"/>
    <w:tmpl w:val="5546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09B6A85"/>
    <w:multiLevelType w:val="multilevel"/>
    <w:tmpl w:val="8654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49D0F2B"/>
    <w:multiLevelType w:val="multilevel"/>
    <w:tmpl w:val="38B0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A72328E"/>
    <w:multiLevelType w:val="multilevel"/>
    <w:tmpl w:val="407E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77F3674C"/>
    <w:multiLevelType w:val="multilevel"/>
    <w:tmpl w:val="1770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953950366">
    <w:abstractNumId w:val="6"/>
  </w:num>
  <w:num w:numId="2" w16cid:durableId="1931305587">
    <w:abstractNumId w:val="3"/>
  </w:num>
  <w:num w:numId="3" w16cid:durableId="696007853">
    <w:abstractNumId w:val="0"/>
  </w:num>
  <w:num w:numId="4" w16cid:durableId="62026731">
    <w:abstractNumId w:val="7"/>
  </w:num>
  <w:num w:numId="5" w16cid:durableId="1314678455">
    <w:abstractNumId w:val="4"/>
  </w:num>
  <w:num w:numId="6" w16cid:durableId="1444960213">
    <w:abstractNumId w:val="2"/>
  </w:num>
  <w:num w:numId="7" w16cid:durableId="1286543415">
    <w:abstractNumId w:val="1"/>
  </w:num>
  <w:num w:numId="8" w16cid:durableId="614287873">
    <w:abstractNumId w:val="5"/>
  </w:num>
  <w:num w:numId="9" w16cid:durableId="10299156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43"/>
    <w:rsid w:val="00023D6F"/>
    <w:rsid w:val="00470743"/>
    <w:rsid w:val="067393AD"/>
    <w:rsid w:val="13D5E171"/>
    <w:rsid w:val="16A5D591"/>
    <w:rsid w:val="40C2F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55D11"/>
  <w15:chartTrackingRefBased/>
  <w15:docId w15:val="{83C49B5C-F241-4271-B29F-5A222B51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paragraph" w:styleId="Kop1">
    <w:name w:val="heading 1"/>
    <w:basedOn w:val="Standaard"/>
    <w:link w:val="Kop1Char"/>
    <w:uiPriority w:val="9"/>
    <w:qFormat/>
    <w:rsid w:val="00470743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NL"/>
    </w:rPr>
  </w:style>
  <w:style w:type="paragraph" w:styleId="Kop2">
    <w:name w:val="heading 2"/>
    <w:basedOn w:val="Standaard"/>
    <w:link w:val="Kop2Char"/>
    <w:uiPriority w:val="9"/>
    <w:qFormat/>
    <w:rsid w:val="00470743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NL"/>
    </w:rPr>
  </w:style>
  <w:style w:type="paragraph" w:styleId="Kop3">
    <w:name w:val="heading 3"/>
    <w:basedOn w:val="Standaard"/>
    <w:link w:val="Kop3Char"/>
    <w:uiPriority w:val="9"/>
    <w:qFormat/>
    <w:rsid w:val="00470743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NL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Kop1Char" w:customStyle="1">
    <w:name w:val="Kop 1 Char"/>
    <w:basedOn w:val="Standaardalinea-lettertype"/>
    <w:link w:val="Kop1"/>
    <w:uiPriority w:val="9"/>
    <w:rsid w:val="00470743"/>
    <w:rPr>
      <w:rFonts w:ascii="Times New Roman" w:hAnsi="Times New Roman" w:eastAsia="Times New Roman" w:cs="Times New Roman"/>
      <w:b/>
      <w:bCs/>
      <w:kern w:val="36"/>
      <w:sz w:val="48"/>
      <w:szCs w:val="48"/>
      <w:lang w:eastAsia="en-NL"/>
    </w:rPr>
  </w:style>
  <w:style w:type="character" w:styleId="Kop2Char" w:customStyle="1">
    <w:name w:val="Kop 2 Char"/>
    <w:basedOn w:val="Standaardalinea-lettertype"/>
    <w:link w:val="Kop2"/>
    <w:uiPriority w:val="9"/>
    <w:rsid w:val="00470743"/>
    <w:rPr>
      <w:rFonts w:ascii="Times New Roman" w:hAnsi="Times New Roman" w:eastAsia="Times New Roman" w:cs="Times New Roman"/>
      <w:b/>
      <w:bCs/>
      <w:sz w:val="36"/>
      <w:szCs w:val="36"/>
      <w:lang w:eastAsia="en-NL"/>
    </w:rPr>
  </w:style>
  <w:style w:type="character" w:styleId="Kop3Char" w:customStyle="1">
    <w:name w:val="Kop 3 Char"/>
    <w:basedOn w:val="Standaardalinea-lettertype"/>
    <w:link w:val="Kop3"/>
    <w:uiPriority w:val="9"/>
    <w:rsid w:val="00470743"/>
    <w:rPr>
      <w:rFonts w:ascii="Times New Roman" w:hAnsi="Times New Roman" w:eastAsia="Times New Roman" w:cs="Times New Roman"/>
      <w:b/>
      <w:bCs/>
      <w:sz w:val="27"/>
      <w:szCs w:val="27"/>
      <w:lang w:eastAsia="en-NL"/>
    </w:rPr>
  </w:style>
  <w:style w:type="paragraph" w:styleId="Normaalweb">
    <w:name w:val="Normal (Web)"/>
    <w:basedOn w:val="Standaard"/>
    <w:uiPriority w:val="99"/>
    <w:semiHidden/>
    <w:unhideWhenUsed/>
    <w:rsid w:val="0047074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NL"/>
    </w:rPr>
  </w:style>
  <w:style w:type="character" w:styleId="Hyperlink">
    <w:name w:val="Hyperlink"/>
    <w:basedOn w:val="Standaardalinea-lettertype"/>
    <w:uiPriority w:val="99"/>
    <w:semiHidden/>
    <w:unhideWhenUsed/>
    <w:rsid w:val="00470743"/>
    <w:rPr>
      <w:color w:val="0000FF"/>
      <w:u w:val="single"/>
    </w:rPr>
  </w:style>
  <w:style w:type="character" w:styleId="Zwaar">
    <w:name w:val="Strong"/>
    <w:basedOn w:val="Standaardalinea-lettertype"/>
    <w:uiPriority w:val="22"/>
    <w:qFormat/>
    <w:rsid w:val="004707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www.vitamine-info.nl/alle-vitamines-en-mineralen-op-een-rij/calcium/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vitamine-info.nl/hoeveel-heb-ik-nodig/zwanger/" TargetMode="External" Id="rId6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Ahmad Alkhatib</dc:creator>
  <keywords/>
  <dc:description/>
  <lastModifiedBy>Ahmad Alkhatib (18019234)</lastModifiedBy>
  <revision>4</revision>
  <dcterms:created xsi:type="dcterms:W3CDTF">2022-09-07T09:36:00.0000000Z</dcterms:created>
  <dcterms:modified xsi:type="dcterms:W3CDTF">2022-10-02T21:18:07.7406221Z</dcterms:modified>
</coreProperties>
</file>