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sdt>
        <w:sdtPr>
          <w:id w:val="-68793860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Договор №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{contractNumber}</w:t>
      </w:r>
      <w:r w:rsidDel="00000000" w:rsidR="00000000" w:rsidRPr="00000000">
        <w:rPr>
          <w:rtl w:val="0"/>
        </w:rPr>
      </w:r>
    </w:p>
    <w:tbl>
      <w:tblPr>
        <w:tblStyle w:val="Table1"/>
        <w:tblW w:w="9269.0" w:type="dxa"/>
        <w:jc w:val="left"/>
        <w:tblInd w:w="-60.0" w:type="dxa"/>
        <w:tblLayout w:type="fixed"/>
        <w:tblLook w:val="0600"/>
      </w:tblPr>
      <w:tblGrid>
        <w:gridCol w:w="4695"/>
        <w:gridCol w:w="4574"/>
        <w:tblGridChange w:id="0">
          <w:tblGrid>
            <w:gridCol w:w="4695"/>
            <w:gridCol w:w="45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ind w:left="-45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г. 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ind w:right="23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«{contractDay}» {contractMonth}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2026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г.</w:t>
            </w:r>
          </w:p>
        </w:tc>
      </w:tr>
    </w:tbl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75"/>
        <w:gridCol w:w="7963"/>
        <w:tblGridChange w:id="0">
          <w:tblGrid>
            <w:gridCol w:w="1675"/>
            <w:gridCol w:w="7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Общество с ограниченной ответственностью «Рассвет.Диджитал»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в лице Генерального директора Ерохнович Светланы Евгеньевны, действующего на основании Устава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{executorFullName}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заключили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этот договор (далее – Договор) о следующем:</w:t>
      </w:r>
    </w:p>
    <w:p w:rsidR="00000000" w:rsidDel="00000000" w:rsidP="00000000" w:rsidRDefault="00000000" w:rsidRPr="00000000" w14:paraId="0000000A">
      <w:pPr>
        <w:spacing w:after="200" w:before="400" w:line="276" w:lineRule="auto"/>
        <w:jc w:val="both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Термины:</w:t>
      </w:r>
    </w:p>
    <w:p w:rsidR="00000000" w:rsidDel="00000000" w:rsidP="00000000" w:rsidRDefault="00000000" w:rsidRPr="00000000" w14:paraId="0000000B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Рекламные материалы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– графические, видео-, презентационные или текстовые материалы, а также их различные комбинации, размещаемые Исполнителем в интернете по заданию Заказчика.</w:t>
      </w:r>
    </w:p>
    <w:p w:rsidR="00000000" w:rsidDel="00000000" w:rsidP="00000000" w:rsidRDefault="00000000" w:rsidRPr="00000000" w14:paraId="0000000C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Маркировка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– проставление на Рекламном материале пометки «реклама» и сопровождение его сведениями о рекламодателе.</w:t>
      </w:r>
    </w:p>
    <w:p w:rsidR="00000000" w:rsidDel="00000000" w:rsidP="00000000" w:rsidRDefault="00000000" w:rsidRPr="00000000" w14:paraId="0000000D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Идентификатор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– уникальный идентификатор Рекламного материала, обязательный для его размещения в интернете.</w:t>
      </w:r>
    </w:p>
    <w:p w:rsidR="00000000" w:rsidDel="00000000" w:rsidP="00000000" w:rsidRDefault="00000000" w:rsidRPr="00000000" w14:paraId="0000000E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ОРД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– владелец программы, предназначенной для установления факта распространения рекламы в интернете, уполномоченный на ведение учета такой рекламы.</w:t>
      </w:r>
    </w:p>
    <w:p w:rsidR="00000000" w:rsidDel="00000000" w:rsidP="00000000" w:rsidRDefault="00000000" w:rsidRPr="00000000" w14:paraId="0000000F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Аккаунт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– личный кабинет Заказчика в программе ОРД.</w:t>
      </w:r>
    </w:p>
    <w:p w:rsidR="00000000" w:rsidDel="00000000" w:rsidP="00000000" w:rsidRDefault="00000000" w:rsidRPr="00000000" w14:paraId="00000010">
      <w:pPr>
        <w:spacing w:after="200" w:before="200" w:line="276" w:lineRule="auto"/>
        <w:ind w:left="72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ЕРИР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– единый реестр интернет-рекламы, предназначенный для учета, хранения и обработки информации о рекламе, распространяемой в интернете.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Предмет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обязуется по заданию Заказчика оказать услуги по размещению Рекламных материалов, а Заказчик обязуется их принять и оплатить.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Объем, стоимость услуг, срок их оказания и другие требования к услугам определяется в Приложениях.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Порядок исполнения Договора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Заказчик вправе вносить изменения и уточнения в задание не позднее чем за 2 рабочих дня до размещения Рекламного материала.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не вправе привлекать третьих лиц для оказания услуг.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обязан предоставить ответ на запрос Заказчика о порядке оказания услуг не позднее 3 рабочих дней с момента его получения.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Заказчик не предоставляет Исполнителю рабочее место и рабочее оборудование для исполнения Договора. Исполнитель выполняет работу при помощи собственных технических средств.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Маркировка Рекламных материалов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Маркировка предполагает проставление на Рекламном материале пометки «реклама» и информации о рекламодателе.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sdt>
        <w:sdtPr>
          <w:id w:val="201573521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Данные о рекламодателе предусмотрены в Приложении № 1 к Договору.</w:t>
          </w:r>
        </w:sdtContent>
      </w:sdt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Перед размещением материала в интернете Исполнитель согласовывает Рекламный материал и формат маркировки с Заказчиком.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Информация, передаваемая ОРД, не является конфиденциальной. При противоречии этого условия предшествующими договоренностям Сторон, применяется это условие.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обязуется оплатить рекламный сбор в соответствии с законодательством РФ.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Взаимодействие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с ОРД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Передача информации в ЕРИР происходит через системы ОРД.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sdt>
        <w:sdtPr>
          <w:id w:val="53412462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Обязанность по передаче информации в ОРД принимает на себя Сторона, указанная в Приложении № 1 к Договору.</w:t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Сторона, которая обязуется передать информацию в ОРД, самостоятельно выбирает ОРД.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обязуется предоставить информацию, необходимую для передачи в ОРД, не позднее 2 рабочих дней с момента получения соответствующего запроса от Заказчика.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Перед размещением Рекламных материалов в интернете Сторона, которая обязуется передать информацию в ОРД, обязуется получить Идентификатор и разместить его вместе с Рекламным материалом.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Размещение Рекламного материала в интернете без Идентификатора не допускается.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Порядок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сдачи-приема услуг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sdt>
        <w:sdtPr>
          <w:id w:val="-55939287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В течение 3 рабочих дней со дня окончания оказания услуг Исполнитель представляет Заказчику Акт об оказании услуг (далее – Акт) и иные сведения, указанные в Приложении № 1.</w:t>
          </w:r>
        </w:sdtContent>
      </w:sdt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течение 5 рабочих дней со дня получения Акта Заказчик обязан принять услуги, указанные в Акте, подписав его и направив один экземпляр Исполнителю, или направить Исполнителю мотивированный отказ от приемки услуг с описанием недостатков.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устраняет недостатки оказанных услуг в течение 5 рабочих дней со дня получения мотивированного отказа от приемки услуг, если иной срок не согласован Сторонами.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После устранения недостатков Исполнитель повторно направляет Заказчику Акт, который Заказчик принимает в порядке, предусмотренном Договором.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Стоимость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услуг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Стоимость услуг и порядок оплаты определяется Сторонами в Приложениях.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Стоимость услуг включает в себя сумму расходов Исполнителя, связанных с оказанием услуг, если иное не оговорено в Приложениях.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Заказчик перечисляет денежные средства в рублях на счет Исполнителя.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Обязанность Заказчика в части оплаты по Договору считается исполненной со дня списания денежных средств с корреспондентского счета банка Заказчика.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before="400" w:line="276" w:lineRule="auto"/>
        <w:ind w:left="567" w:hanging="283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Интеллектуальные права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Если Заказчик предоставляет Исполнителю материалы для оказания услуг, Исполнитель вправе использовать такие материалы на условиях простой (неисключительной) лицензии: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Территория использования – весь мир;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Срок использования – срок создания и размещения Рекламных материалов;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Способы использования: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включение в состав Рекламных материалов;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воспроизведение;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доведение до всеобщего сведения путем публикации в Интернете, в том числе в социальных сетях и блогах;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изменение и уточнение;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создание производных произведений на их основе;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снабжение материалов комментариями.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Если при оказании услуг Исполнитель создаст результаты интеллектуальной деятельности (далее – РИД), Исполнитель предоставляет Заказчику простую (неисключительную) лицензию на использование созданных им РИД: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Территория использования – весь мир;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Срок использования – срок действия исключительного права на РИД;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Способы использования: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включение в состав Рекламных материалов;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воспроизведение;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доведение до всеобщего сведения путем публикации в Интернете, в том числе в социальных сетях и блогах;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публикация на сайте и в социальных сетях Заказчика и рекламодателя;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изменение и уточнение;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создание производных произведений на их основе;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снабжение материалов комментариями;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предоставление права использовать РИД третьим лицам, в том числе заключение сублицензионного договора;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843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использование РИД как с указанием, так и без указания имени автора и Исполнителя.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заверяет, что он: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имеет все необходимые права на размещение Рекламных материалов.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Созданные Исполнителем Рекламные материалы не будут нарушать законодательство РФ, в т.ч. авторские, смежные, патентные права, иные права на результаты интеллектуальной деятельности, прочие права и законные интересы третьих лиц;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 процессе исполнения Договора исключительные права на рекламные материалы не будут переданы Исполнителем третьим лицам без согласования с Заказчиком;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получил согласие привлеченных им лиц на передачу прав Заказчику;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bookmarkStart w:colFirst="0" w:colLast="0" w:name="_heading=h.1fob9te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получил согласия и разрешения третьих лиц на использование их изображения в рекламных материалах и их публикацию на площадках.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Ответственность сторон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 нарушение сроков оплаты Исполнитель вправе потребовать от Заказчика уплатить неустойку в размере 0,1% от суммы задолженности за каждый день просрочки, но не более 10% процентов от суммы задолженности. Исполнитель не вправе требовать уплатить неустойку на сумму предварительной оплаты.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За нарушение сроков оказания услуг Заказчик вправе потребовать от Исполнителя уплатить неустойку в размере 0,1% от стоимости несвоевременно оказанных услуг за каждый день просрочки, но не более 10% от стоимости несвоевременно оказанных услуг.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случае использования Исполнителем неутвержденных Заказчиком материалов, Заказчик вправе потребовать от Исполнителя уплатить штраф в размере половины суммы стоимости соответствующего Приложения за каждый случай нарушения.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Исполнитель обязуется самостоятельно и за свой счет урегулировать претензии третьих лиц к Заказчику, связанные с нарушением предоставленных заверений, а также предпринять все необходимые действия, исключающие возникновение расходов и убытков у Заказчика, а в случае их возникновения — возместить их в полном объёме.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Форс-мажор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Сторона, которая не может выполнить обязательства по Договору вследствие действия обстоятельств непреодолимой силы, должна незамедлительно, но не позднее 5 (пяти) календарных дней после наступления обстоятельств непреодолимой силы, письменно известить другую Сторону об этом, с предоставлением обосновывающих документов, выданных компетентными органами.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Конфиденциальность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Условия Договора, приложений и дополнительных соглашений к нему конфиденциальны и не подлежат разглашению за исключением случаев, предусмотренных законодательством Российской Федерации.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Конфиденциальной информацией признаются любые сведения, включая, но не ограничиваясь: коммерческие тайны, финансовые данные, технические решения, клиентские базы, стратегии развития и иная информация переданная Заказчиком Исполнителю.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принимают все необходимые меры для защиты конфиденциальной информации, включая ее хранение в защищенных системах и обеспечивают ограничение доступа.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Вся информация, полученная в ходе исполнения Договора Сторонами, включая информацию о финансовом положении Сторон и информацию о клиентах Заказчика, считается конфиденциальной и не подлежит разглашению или передаче третьим лицам, как в период действия Договора, так и после его завершения в течение 5 (пяти) лет после прекращения действия Договора.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обязаны использовать конфиденциальную информацию исключительно в целях исполнения Договора и должны принять все необходимые меры к ее защите от несанкционированного доступа, распространения и использования. 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Разглашение конфиденциальной информации любой из Сторон может осуществляться только с письменного разрешения другой Стороны.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случае разглашения конфиденциальной информации виновная Сторона обязана выплатить штраф в размере 500 000 (Пятисот тысяч) рублей за каждый факт нарушения. Штраф не освобождает нарушителя от возмещения убытков, причиненных разглашением информации, в полном объеме.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Срок действия Договора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Договор вступает в силу с момента подписания и действует до полного выполнения Сторонами принятых на себя обязательств.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Договор может быть расторгнут по соглашению Сторон.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Любая Сторона может отказаться от Договора в одностороннем порядке, направив соответствующее уведомление. Договор считается расторгнутым по истечении 10 рабочих дней со дня получения такого уведомления другой Стороной.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Разрешение споров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Стороны разрешают споры, возникающие в связи с исполнением Договора, путем переговоров.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До обращения в суд Стороны используют обязательный претензионный порядок. Срок ответа на претензию – 10 рабочих дней со дня ее получения.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sdt>
        <w:sdtPr>
          <w:id w:val="65606303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По истечении срока для обязательного претензионного порядка Сторона вправе передать спор на рассмотрение Арбитражного суда города Москвы, Симоновского районного суда города Москвы или судебного участка мирового судьи № 245 города Москвы.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Документооборот и коммуникации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признают надлежащим подписание Договора, Приложений, Актов, Дополнительных соглашений к нему путем обмена отсканированными копиями по электронной почте или в мессенджерах. 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Скан-копии документов, передаваемых по электронной почте или в мессенджерах, приравниваются к документам на бумажном носителе, признаются допустимым доказательством в суде.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 течение 5 рабочих дней после получения запроса от Стороны другая Сторона обязана передать оригиналы документов, направленных по электронной почте.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признают надлежащим согласование всех текущих рабочих вопросов в связи с исполнением Договора, в том числе направление писем, запросов, и других сообщений, по электронной почте и в мессенджерах. При отсутствии доказательств фальсификации такая переписка признается юридически значимой и является надлежащим доказательством при судебном споре.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sdt>
        <w:sdtPr>
          <w:id w:val="119955446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Контактные данные сторон для обмена документами и согласования текущих вопросов в связи с исполнением Договора указаны в Приложении № 1 к Договору.</w:t>
          </w:r>
        </w:sdtContent>
      </w:sdt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обязаны сохранять конфиденциальность пароля своей электронной почты и мессенджеров и не допускать к ней третьих лиц. 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Стороны обязуются сообщать друг другу обо всех случаях взлома или иного несанкционированного доступа к электронной почте или мессенджерам. В отсутствие такого уведомления исполнение, произведенное Стороной Договора с учетом имеющейся у нее информации, признается надлежащим.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При изменении своих реквизитов, указанных в Договоре, Сторона обязуется уведомить об этом другую Сторону в течение 5 рабочих дней. В случае неуведомления нарушившая Сторона несет риск последствий, связанных с направлением информации или платежей по некорректным реквизитам и обязана компенсировать последствия другой Стороне.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00" w:before="400" w:line="276" w:lineRule="auto"/>
        <w:ind w:left="568" w:hanging="284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Адреса и реквизиты сторон</w:t>
      </w:r>
    </w:p>
    <w:tbl>
      <w:tblPr>
        <w:tblStyle w:val="Table3"/>
        <w:tblW w:w="9270.0" w:type="dxa"/>
        <w:jc w:val="left"/>
        <w:tblInd w:w="60.0" w:type="dxa"/>
        <w:tblLayout w:type="fixed"/>
        <w:tblLook w:val="0600"/>
      </w:tblPr>
      <w:tblGrid>
        <w:gridCol w:w="4791"/>
        <w:gridCol w:w="4479"/>
        <w:tblGridChange w:id="0">
          <w:tblGrid>
            <w:gridCol w:w="4791"/>
            <w:gridCol w:w="447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ООО «Рассвет.Диджитал»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ind w:right="-263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Адрес: 656906, Алтайский край, г. Барнаул, </w:t>
              <w:br w:type="textWrapping"/>
              <w:t xml:space="preserve">ул. Дзержинского 17-40</w:t>
              <w:br w:type="textWrapping"/>
              <w:t xml:space="preserve">Адрес для корреспонденции: Москва, Духовской переулок, 17, The Loft, офис Rassvet.digital (1 этаж)</w:t>
              <w:br w:type="textWrapping"/>
              <w:t xml:space="preserve">ИНН: 2225210924</w:t>
              <w:br w:type="textWrapping"/>
              <w:t xml:space="preserve">КПП: 222501001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ind w:right="-263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Банковские реквизиты:</w:t>
              <w:br w:type="textWrapping"/>
              <w:t xml:space="preserve">р/с 40702810502000001394 </w:t>
              <w:br w:type="textWrapping"/>
              <w:t xml:space="preserve">в банке</w:t>
              <w:br w:type="textWrapping"/>
              <w:t xml:space="preserve">АЛТАЙСКОЕ ОТДЕЛЕНИЕ N8644 ПАО СБЕРБАНК</w:t>
              <w:br w:type="textWrapping"/>
              <w:t xml:space="preserve">БИК 040173604</w:t>
              <w:br w:type="textWrapping"/>
              <w:t xml:space="preserve">к/с 30101810200000000604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Ерохнович Светлана Евгеньевна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_________________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Ерохнович С. 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м.п.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{executorRequisites}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sdt>
        <w:sdtPr>
          <w:id w:val="153343623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Приложение № 1</w:t>
            <w:br w:type="textWrapping"/>
            <w:t xml:space="preserve">к Договору № 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{contractNumber}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от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{contractDateFormatted}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г. </w:t>
      </w:r>
      <w:r w:rsidDel="00000000" w:rsidR="00000000" w:rsidRPr="00000000">
        <w:rPr>
          <w:rtl w:val="0"/>
        </w:rPr>
      </w:r>
    </w:p>
    <w:tbl>
      <w:tblPr>
        <w:tblStyle w:val="Table4"/>
        <w:tblW w:w="9269.0" w:type="dxa"/>
        <w:jc w:val="left"/>
        <w:tblInd w:w="-60.0" w:type="dxa"/>
        <w:tblLayout w:type="fixed"/>
        <w:tblLook w:val="0600"/>
      </w:tblPr>
      <w:tblGrid>
        <w:gridCol w:w="4695"/>
        <w:gridCol w:w="4574"/>
        <w:tblGridChange w:id="0">
          <w:tblGrid>
            <w:gridCol w:w="4695"/>
            <w:gridCol w:w="45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ind w:left="-45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г. 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ind w:right="23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«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{contractDay}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»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{contractMonth}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2026 г.</w:t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75"/>
        <w:gridCol w:w="7963"/>
        <w:tblGridChange w:id="0">
          <w:tblGrid>
            <w:gridCol w:w="1675"/>
            <w:gridCol w:w="7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Общество с ограниченной ответственностью «Рассвет.Диджитал»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в лице Генерального директора Ерохнович Светланы Евгеньевны, действующего на основании Устава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{executorFullName}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Подписали это Приложение о следующем: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Предмет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оказывает услуги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для Заказчика, действующего в интересах </w:t>
      </w:r>
      <w:sdt>
        <w:sdtPr>
          <w:id w:val="1567067869"/>
          <w:tag w:val="goog_rdk_7"/>
        </w:sdtPr>
        <w:sdtContent>
          <w:commentRangeStart w:id="0"/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{clientFull} (ИНН {clientInn}, ОГРН {clientOgrn}), в рамках проекта «{project}»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по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размещению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екламных материалов в социальных сетях,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указанных в перечне услуг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по согласованию с Заказчиком.</w:t>
      </w:r>
    </w:p>
    <w:tbl>
      <w:tblPr>
        <w:tblStyle w:val="Table6"/>
        <w:tblW w:w="9630.0" w:type="dxa"/>
        <w:jc w:val="left"/>
        <w:tblInd w:w="-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560"/>
        <w:gridCol w:w="2970"/>
        <w:gridCol w:w="1845"/>
        <w:gridCol w:w="1695"/>
        <w:gridCol w:w="1560"/>
        <w:tblGridChange w:id="0">
          <w:tblGrid>
            <w:gridCol w:w="1560"/>
            <w:gridCol w:w="2970"/>
            <w:gridCol w:w="1845"/>
            <w:gridCol w:w="1695"/>
            <w:gridCol w:w="156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5"/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="276" w:lineRule="auto"/>
              <w:ind w:right="-7.322834645669332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Перечень услуг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60" w:line="276" w:lineRule="auto"/>
              <w:ind w:right="-7.322834645669332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Аккаунт</w:t>
            </w:r>
          </w:p>
        </w:tc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" w:before="60" w:line="276" w:lineRule="auto"/>
              <w:ind w:right="-14.645669291338663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Описание услуги</w:t>
            </w:r>
          </w:p>
        </w:tc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="276" w:lineRule="auto"/>
              <w:ind w:left="59" w:right="-80.78740157480354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Дата размещения Рекламных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4">
            <w:pPr>
              <w:spacing w:after="60" w:before="60" w:line="276" w:lineRule="auto"/>
              <w:ind w:left="64" w:right="-56.57480314960708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Срок размещения Рекламных материалов</w:t>
            </w:r>
          </w:p>
        </w:tc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="276" w:lineRule="auto"/>
              <w:ind w:left="64" w:right="-7.322834645669332"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Стоимость услуг, руб.</w:t>
            </w:r>
          </w:p>
        </w:tc>
      </w:tr>
      <w:tr>
        <w:trPr>
          <w:cantSplit w:val="0"/>
          <w:trHeight w:val="81" w:hRule="atLeast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60" w:before="60" w:line="276" w:lineRule="auto"/>
              <w:ind w:left="64" w:right="-7.322834645669332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{channelName}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76" w:lineRule="auto"/>
              <w:ind w:right="-14.645669291338663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Публикация Рекламных материалов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на канале Telegram «{channelName}» ({channelUrl})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60" w:before="60" w:line="276" w:lineRule="auto"/>
              <w:ind w:left="59" w:right="-80.78740157480354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{placementDate}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before="60" w:line="276" w:lineRule="auto"/>
              <w:ind w:left="64" w:right="-56.57480314960708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 {placementDate} </w:t>
              <w:br w:type="textWrapping"/>
              <w:t xml:space="preserve">по {placementEndDate} / {placementDays} дней</w:t>
              <w:br w:type="textWrapping"/>
              <w:t xml:space="preserve"/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60" w:before="60" w:line="276" w:lineRule="auto"/>
              <w:ind w:left="64" w:right="-7.322834645669332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{price}</w:t>
            </w:r>
          </w:p>
        </w:tc>
      </w:tr>
    </w:tbl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Стороны используют для переписки следующие адреса электронной почты, телефоны и мессенджеры:</w:t>
      </w:r>
    </w:p>
    <w:tbl>
      <w:tblPr>
        <w:tblStyle w:val="Table7"/>
        <w:tblW w:w="962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697"/>
        <w:gridCol w:w="3089"/>
        <w:gridCol w:w="2447"/>
        <w:gridCol w:w="2395"/>
        <w:tblGridChange w:id="0">
          <w:tblGrid>
            <w:gridCol w:w="1697"/>
            <w:gridCol w:w="3089"/>
            <w:gridCol w:w="2447"/>
            <w:gridCol w:w="23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C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D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e-mail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E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Мессенджер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F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Телефон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before="60" w:line="276" w:lineRule="auto"/>
              <w:ind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Порядок размещения Рекламных материалов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Точную дату размещения, тему, общий сценарий размещения Рекламных материалов и другие организационные вопросы Стороны согласовывают дополнительно по электронной почте или посредством мессенджеров.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Данные о рекламодателе: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Рекламодатель –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/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{clientShort}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/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ОГРН: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{clientOgrn}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ИН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Н: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{clientInn}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Обязанность по передаче информации в ОРД принимает на себя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{ordParty}.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По результатам оказания услуг Исполнитель предоставляет отчет в свободной форме. Отчет должен содержать: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Дату размещения Рекламных материалов;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Ссылку на публикацию;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Период показа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Статистику по охватам;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Вовлеченность.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200" w:before="200" w:line="276" w:lineRule="auto"/>
        <w:ind w:left="567" w:hanging="283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По истечении срока размещения, указанного в Приложении, Исполнитель обязан удалить опубликованный Рекламный материал.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П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Общая стоимость услуг составляет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{price}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{priceWords}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 рублей 00 копеек. 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Стоимость услуг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{vatClause} 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Заказчик оплачивает услуги в течение 5 рабочих дней со дня подписания Договора и Приложения.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Требования к рекламным материалам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екламных материалах должна быть указана информация, которая заранее будет отправлена Заказчиком.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Рекламные материалы не должны содержать: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сведения об отрицательных свойствах объекта рекламирования;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агитацию против использования объекта рекламирования;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ind w:left="1418" w:hanging="284.00000000000006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иную информацию, способную вызывать у потребителей рекламы отрицательное отношение к объекту рекламирования.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обязан согласовать разработанные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екламные материалы с Заказчиком.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В срок до даты публикации Заказчик отправляет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Р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екламные материалы для публикации Исполнителю.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200" w:before="200" w:line="276" w:lineRule="auto"/>
        <w:ind w:left="568" w:hanging="284"/>
        <w:jc w:val="both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Исполнитель не вправе публиковать Рекламные материалы, не утвержденные Заказчиком.</w:t>
      </w:r>
    </w:p>
    <w:bookmarkStart w:colFirst="0" w:colLast="0" w:name="bookmark=id.1fob9te" w:id="1"/>
    <w:bookmarkEnd w:id="1"/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00" w:before="400" w:line="276" w:lineRule="auto"/>
        <w:ind w:left="568" w:hanging="284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Подписи сторон</w:t>
      </w:r>
    </w:p>
    <w:tbl>
      <w:tblPr>
        <w:tblStyle w:val="Table8"/>
        <w:tblW w:w="8925.0" w:type="dxa"/>
        <w:jc w:val="left"/>
        <w:tblInd w:w="417.0" w:type="dxa"/>
        <w:tblLayout w:type="fixed"/>
        <w:tblLook w:val="0600"/>
      </w:tblPr>
      <w:tblGrid>
        <w:gridCol w:w="4410"/>
        <w:gridCol w:w="4515"/>
        <w:tblGridChange w:id="0">
          <w:tblGrid>
            <w:gridCol w:w="4410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От Заказчика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_________________ /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Ерохнович С. 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ind w:right="-263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От Исполнителя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_________________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/ {executorShort}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" w:before="2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6838" w:w="11906" w:orient="portrait"/>
      <w:pgMar w:bottom="1134" w:top="1134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икита Демаков" w:id="0" w:date="2025-04-09T07:11:47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Указать клиента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rFonts w:ascii="Helvetica Neue" w:cs="Helvetica Neue" w:eastAsia="Helvetica Neue" w:hAnsi="Helvetica Neue"/>
        <w:color w:val="000000"/>
        <w:sz w:val="22"/>
        <w:szCs w:val="22"/>
      </w:rPr>
    </w:pP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  <w:rtl w:val="0"/>
      </w:rPr>
      <w:t xml:space="preserve">Страница </w:t>
    </w: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  <w:rtl w:val="0"/>
      </w:rPr>
      <w:t xml:space="preserve"> из </w:t>
    </w:r>
    <w:r w:rsidDel="00000000" w:rsidR="00000000" w:rsidRPr="00000000">
      <w:rPr>
        <w:rFonts w:ascii="Helvetica Neue" w:cs="Helvetica Neue" w:eastAsia="Helvetica Neue" w:hAnsi="Helvetica Neue"/>
        <w:color w:val="000000"/>
        <w:sz w:val="22"/>
        <w:szCs w:val="22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  <w:sz w:val="24"/>
        <w:szCs w:val="24"/>
      </w:rPr>
    </w:pPr>
    <w:r w:rsidDel="00000000" w:rsidR="00000000" w:rsidRPr="00000000">
      <w:rPr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right="360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Helvetica Neue" w:cs="Helvetica Neue" w:eastAsia="Helvetica Neue" w:hAnsi="Helvetica Neue"/>
        <w:b w:val="1"/>
        <w:bCs w:val="1"/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Helvetica Neue" w:cs="Helvetica Neue" w:eastAsia="Helvetica Neue" w:hAnsi="Helvetica Neue"/>
        <w:b w:val="0"/>
        <w:bCs w:val="0"/>
        <w:color w:val="00000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rFonts w:ascii="Helvetica Neue" w:cs="Helvetica Neue" w:eastAsia="Helvetica Neue" w:hAnsi="Helvetica Neue"/>
        <w:b w:val="1"/>
        <w:bCs w:val="1"/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Helvetica Neue" w:cs="Helvetica Neue" w:eastAsia="Helvetica Neue" w:hAnsi="Helvetica Neue"/>
        <w:b w:val="0"/>
        <w:bCs w:val="0"/>
        <w:color w:val="00000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4"/>
    <w:tblPr>
      <w:tblStyleRowBandSize w:val="1"/>
      <w:tblStyleColBandSize w:val="1"/>
    </w:tblPr>
  </w:style>
  <w:style w:type="table" w:styleId="a6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8">
    <w:name w:val="annotation text"/>
    <w:basedOn w:val="a"/>
    <w:link w:val="a9"/>
    <w:uiPriority w:val="99"/>
    <w:unhideWhenUsed w:val="1"/>
  </w:style>
  <w:style w:type="character" w:styleId="a9" w:customStyle="1">
    <w:name w:val="Текст примечания Знак"/>
    <w:basedOn w:val="a0"/>
    <w:link w:val="a8"/>
    <w:uiPriority w:val="99"/>
  </w:style>
  <w:style w:type="character" w:styleId="aa">
    <w:name w:val="annotation reference"/>
    <w:basedOn w:val="a0"/>
    <w:uiPriority w:val="99"/>
    <w:semiHidden w:val="1"/>
    <w:unhideWhenUsed w:val="1"/>
    <w:rPr>
      <w:sz w:val="16"/>
      <w:szCs w:val="16"/>
    </w:rPr>
  </w:style>
  <w:style w:type="table" w:styleId="ab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4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6">
    <w:name w:val="Balloon Text"/>
    <w:basedOn w:val="a"/>
    <w:link w:val="af7"/>
    <w:uiPriority w:val="99"/>
    <w:semiHidden w:val="1"/>
    <w:unhideWhenUsed w:val="1"/>
    <w:rsid w:val="00F92570"/>
    <w:rPr>
      <w:rFonts w:ascii="Segoe UI" w:cs="Segoe UI" w:hAnsi="Segoe UI"/>
      <w:sz w:val="18"/>
      <w:szCs w:val="18"/>
    </w:rPr>
  </w:style>
  <w:style w:type="character" w:styleId="af7" w:customStyle="1">
    <w:name w:val="Текст выноски Знак"/>
    <w:basedOn w:val="a0"/>
    <w:link w:val="af6"/>
    <w:uiPriority w:val="99"/>
    <w:semiHidden w:val="1"/>
    <w:rsid w:val="00F92570"/>
    <w:rPr>
      <w:rFonts w:ascii="Segoe UI" w:cs="Segoe UI" w:hAnsi="Segoe UI"/>
      <w:sz w:val="18"/>
      <w:szCs w:val="18"/>
    </w:rPr>
  </w:style>
  <w:style w:type="character" w:styleId="il" w:customStyle="1">
    <w:name w:val="il"/>
    <w:basedOn w:val="a0"/>
    <w:rsid w:val="00F92570"/>
  </w:style>
  <w:style w:type="paragraph" w:styleId="af8">
    <w:name w:val="Body Text"/>
    <w:basedOn w:val="a"/>
    <w:link w:val="af9"/>
    <w:uiPriority w:val="99"/>
    <w:rsid w:val="00AC4304"/>
    <w:pPr>
      <w:spacing w:after="160" w:before="160" w:line="1" w:lineRule="atLeast"/>
      <w:ind w:left="-1" w:hanging="1"/>
      <w:jc w:val="both"/>
    </w:pPr>
    <w:rPr>
      <w:rFonts w:ascii="Arial" w:cs="Arial" w:eastAsia="Arial" w:hAnsi="Arial"/>
      <w:position w:val="-1"/>
      <w:sz w:val="24"/>
      <w:szCs w:val="24"/>
      <w:lang w:eastAsia="ar-SA"/>
    </w:rPr>
  </w:style>
  <w:style w:type="character" w:styleId="af9" w:customStyle="1">
    <w:name w:val="Основной текст Знак"/>
    <w:basedOn w:val="a0"/>
    <w:link w:val="af8"/>
    <w:uiPriority w:val="99"/>
    <w:rsid w:val="00AC4304"/>
    <w:rPr>
      <w:rFonts w:ascii="Arial" w:cs="Arial" w:eastAsia="Arial" w:hAnsi="Arial"/>
      <w:position w:val="-1"/>
      <w:sz w:val="24"/>
      <w:szCs w:val="24"/>
      <w:lang w:eastAsia="ar-SA"/>
    </w:rPr>
  </w:style>
  <w:style w:type="table" w:styleId="afa">
    <w:name w:val="Table Grid"/>
    <w:basedOn w:val="a1"/>
    <w:uiPriority w:val="39"/>
    <w:rsid w:val="00AC4304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160" w:before="160" w:line="1" w:lineRule="atLeast"/>
      <w:ind w:left="-1" w:hanging="1"/>
      <w:jc w:val="both"/>
    </w:pPr>
    <w:rPr>
      <w:rFonts w:ascii="Arial" w:cs="Arial" w:eastAsia="Arial" w:hAnsi="Arial"/>
      <w:position w:val="-1"/>
      <w:sz w:val="22"/>
      <w:szCs w:val="22"/>
      <w:bdr w:space="0" w:sz="0" w:val="ni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35" w:customStyle="1">
    <w:name w:val="s35"/>
    <w:basedOn w:val="a"/>
    <w:rsid w:val="00AC4304"/>
    <w:pPr>
      <w:spacing w:after="100" w:afterAutospacing="1" w:before="100" w:beforeAutospacing="1"/>
    </w:pPr>
    <w:rPr>
      <w:sz w:val="24"/>
      <w:szCs w:val="24"/>
    </w:rPr>
  </w:style>
  <w:style w:type="paragraph" w:styleId="afb">
    <w:name w:val="List Paragraph"/>
    <w:uiPriority w:val="34"/>
    <w:qFormat w:val="1"/>
    <w:rsid w:val="009205D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ind w:left="720"/>
    </w:pPr>
    <w:rPr>
      <w:rFonts w:cs="Arial Unicode MS" w:eastAsia="Arial Unicode MS"/>
      <w:color w:val="000000"/>
      <w:sz w:val="24"/>
      <w:szCs w:val="24"/>
      <w:u w:color="000000"/>
      <w:bdr w:space="0" w:sz="0" w:val="nil"/>
    </w:rPr>
  </w:style>
  <w:style w:type="character" w:styleId="afc">
    <w:name w:val="Hyperlink"/>
    <w:basedOn w:val="a0"/>
    <w:uiPriority w:val="99"/>
    <w:unhideWhenUsed w:val="1"/>
    <w:rsid w:val="00F45647"/>
    <w:rPr>
      <w:color w:val="0000ff" w:themeColor="hyperlink"/>
      <w:u w:val="single"/>
    </w:rPr>
  </w:style>
  <w:style w:type="character" w:styleId="bumpedfont20" w:customStyle="1">
    <w:name w:val="bumpedfont20"/>
    <w:basedOn w:val="a0"/>
    <w:rsid w:val="00F45647"/>
  </w:style>
  <w:style w:type="character" w:styleId="apple-converted-space" w:customStyle="1">
    <w:name w:val="apple-converted-space"/>
    <w:basedOn w:val="a0"/>
    <w:rsid w:val="00F45647"/>
  </w:style>
  <w:style w:type="paragraph" w:styleId="afd">
    <w:name w:val="annotation subject"/>
    <w:basedOn w:val="a8"/>
    <w:next w:val="a8"/>
    <w:link w:val="afe"/>
    <w:uiPriority w:val="99"/>
    <w:semiHidden w:val="1"/>
    <w:unhideWhenUsed w:val="1"/>
    <w:rsid w:val="00A5522B"/>
    <w:rPr>
      <w:b w:val="1"/>
      <w:bCs w:val="1"/>
    </w:rPr>
  </w:style>
  <w:style w:type="character" w:styleId="afe" w:customStyle="1">
    <w:name w:val="Тема примечания Знак"/>
    <w:basedOn w:val="a9"/>
    <w:link w:val="afd"/>
    <w:uiPriority w:val="99"/>
    <w:semiHidden w:val="1"/>
    <w:rsid w:val="00A5522B"/>
    <w:rPr>
      <w:b w:val="1"/>
      <w:bCs w:val="1"/>
    </w:rPr>
  </w:style>
  <w:style w:type="character" w:styleId="Aff" w:customStyle="1">
    <w:name w:val="Нет A"/>
    <w:rsid w:val="00A5522B"/>
  </w:style>
  <w:style w:type="table" w:styleId="aff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f7">
    <w:name w:val="header"/>
    <w:basedOn w:val="a"/>
    <w:link w:val="aff8"/>
    <w:uiPriority w:val="99"/>
    <w:unhideWhenUsed w:val="1"/>
    <w:rsid w:val="00517165"/>
    <w:pPr>
      <w:tabs>
        <w:tab w:val="center" w:pos="4677"/>
        <w:tab w:val="right" w:pos="9355"/>
      </w:tabs>
    </w:pPr>
  </w:style>
  <w:style w:type="character" w:styleId="aff8" w:customStyle="1">
    <w:name w:val="Верхний колонтитул Знак"/>
    <w:basedOn w:val="a0"/>
    <w:link w:val="aff7"/>
    <w:uiPriority w:val="99"/>
    <w:rsid w:val="00517165"/>
  </w:style>
  <w:style w:type="paragraph" w:styleId="aff9">
    <w:name w:val="footer"/>
    <w:basedOn w:val="a"/>
    <w:link w:val="affa"/>
    <w:uiPriority w:val="99"/>
    <w:unhideWhenUsed w:val="1"/>
    <w:rsid w:val="00517165"/>
    <w:pPr>
      <w:tabs>
        <w:tab w:val="center" w:pos="4677"/>
        <w:tab w:val="right" w:pos="9355"/>
      </w:tabs>
    </w:pPr>
  </w:style>
  <w:style w:type="character" w:styleId="affa" w:customStyle="1">
    <w:name w:val="Нижний колонтитул Знак"/>
    <w:basedOn w:val="a0"/>
    <w:link w:val="aff9"/>
    <w:uiPriority w:val="99"/>
    <w:rsid w:val="00517165"/>
  </w:style>
  <w:style w:type="paragraph" w:styleId="affb">
    <w:name w:val="No Spacing"/>
    <w:uiPriority w:val="1"/>
    <w:qFormat w:val="1"/>
    <w:rsid w:val="00262EE8"/>
    <w:rPr>
      <w:rFonts w:asciiTheme="minorHAnsi" w:cstheme="minorBidi" w:eastAsiaTheme="minorHAnsi" w:hAnsiTheme="minorHAnsi"/>
      <w:sz w:val="22"/>
      <w:szCs w:val="22"/>
      <w:lang w:eastAsia="en-US"/>
    </w:rPr>
  </w:style>
  <w:style w:type="table" w:styleId="aff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1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2" w:customStyle="1">
    <w:basedOn w:val="TableNormal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160" w:lineRule="auto"/>
      <w:ind w:hanging="1"/>
      <w:jc w:val="both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y1LGjV2Yim7kmK32u2JnkJTHg==">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2024-05-17T14:44:00Z</dcterms:created>
  <dc:creator>Alx</dc:creator>
</cp:coreProperties>
</file>