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Quadro Kanban — SmartExpense</w:t>
      </w:r>
    </w:p>
    <w:p>
      <w:pPr>
        <w:jc w:val="center"/>
      </w:pPr>
      <w:r>
        <w:rPr>
          <w:color w:val="666666"/>
          <w:sz w:val="20"/>
        </w:rPr>
        <w:t>IFSC — Gerência de Projetos 2026/1  |  Rafael Becker · Arthur Rian · Leonardo Bion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vAlign w:val="center"/>
            <w:shd w:val="clear" w:color="auto" w:fill="6B728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Backlog</w:t>
            </w:r>
          </w:p>
        </w:tc>
        <w:tc>
          <w:tcPr>
            <w:tcW w:type="dxa" w:w="2592"/>
            <w:vAlign w:val="center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 Fazer</w:t>
            </w:r>
          </w:p>
        </w:tc>
        <w:tc>
          <w:tcPr>
            <w:tcW w:type="dxa" w:w="2592"/>
            <w:vAlign w:val="center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Em Andamento</w:t>
            </w:r>
          </w:p>
        </w:tc>
        <w:tc>
          <w:tcPr>
            <w:tcW w:type="dxa" w:w="2592"/>
            <w:vAlign w:val="center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Em Revisão</w:t>
            </w:r>
          </w:p>
        </w:tc>
        <w:tc>
          <w:tcPr>
            <w:tcW w:type="dxa" w:w="2592"/>
            <w:vAlign w:val="center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Concluído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</w:tcPr>
          <w:p>
            <w:pPr>
              <w:jc w:val="left"/>
            </w:pPr>
            <w:r>
              <w:rPr>
                <w:color w:val="6B7280"/>
                <w:sz w:val="18"/>
              </w:rPr>
              <w:t>Recuperação de senha por e-mail</w:t>
            </w:r>
          </w:p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Modelagem do banco de dados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</w:tcPr>
          <w:p>
            <w:pPr>
              <w:jc w:val="left"/>
            </w:pPr>
            <w:r>
              <w:rPr>
                <w:color w:val="6B7280"/>
                <w:sz w:val="18"/>
              </w:rPr>
              <w:t>Exportar relatório em PDF</w:t>
            </w:r>
          </w:p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Autenticação — login e cadastro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</w:tcPr>
          <w:p>
            <w:pPr>
              <w:jc w:val="left"/>
            </w:pPr>
            <w:r>
              <w:rPr>
                <w:color w:val="6B7280"/>
                <w:sz w:val="18"/>
              </w:rPr>
              <w:t>Definir metas financeiras mensais</w:t>
            </w:r>
          </w:p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Módulo de Receitas (CRUD)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</w:tcPr>
          <w:p>
            <w:pPr>
              <w:jc w:val="left"/>
            </w:pPr>
            <w:r>
              <w:rPr>
                <w:color w:val="6B7280"/>
                <w:sz w:val="18"/>
              </w:rPr>
              <w:t>Notificações de gastos excessivos</w:t>
            </w:r>
          </w:p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Módulo de Despesas (CRUD)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Dashboard com gráficos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Relatório por categoria de despesa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Relatório mensal — Receita x Despesa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Design responsivo (mobile/tablet/desktop)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Substituição de emojis por ícones SVG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Correção de vulnerabilidades (XSS, JWT)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Configuração do banco PostgreSQL (Neon)</w:t>
            </w:r>
          </w:p>
        </w:tc>
      </w:tr>
      <w:tr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/>
        </w:tc>
        <w:tc>
          <w:tcPr>
            <w:tcW w:type="dxa" w:w="259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</w:tcPr>
          <w:p>
            <w:pPr>
              <w:jc w:val="left"/>
            </w:pPr>
            <w:r>
              <w:rPr>
                <w:color w:val="059669"/>
                <w:sz w:val="18"/>
              </w:rPr>
              <w:t>Deploy em produção (Vercel)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Metodologia utilizada: Scrum com quadro Kanban visual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