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586DE" w14:textId="77777777" w:rsidR="003B1CB7" w:rsidRPr="004048DC" w:rsidRDefault="003B1CB7">
      <w:pPr>
        <w:spacing w:after="80"/>
        <w:rPr>
          <w:rFonts w:ascii="바탕체" w:eastAsia="바탕체" w:hAnsi="바탕체"/>
        </w:rPr>
      </w:pPr>
    </w:p>
    <w:p w14:paraId="1023DDB9" w14:textId="77777777" w:rsidR="003B1CB7" w:rsidRPr="004048DC" w:rsidRDefault="003B1CB7">
      <w:pPr>
        <w:spacing w:after="80"/>
        <w:rPr>
          <w:rFonts w:ascii="바탕체" w:eastAsia="바탕체" w:hAnsi="바탕체"/>
        </w:rPr>
      </w:pPr>
    </w:p>
    <w:p w14:paraId="4AFDCB69" w14:textId="77777777" w:rsidR="003B1CB7" w:rsidRPr="004048DC" w:rsidRDefault="003B1CB7">
      <w:pPr>
        <w:spacing w:after="80"/>
        <w:rPr>
          <w:rFonts w:ascii="바탕체" w:eastAsia="바탕체" w:hAnsi="바탕체"/>
        </w:rPr>
      </w:pPr>
    </w:p>
    <w:p w14:paraId="057166BF" w14:textId="77777777" w:rsidR="003B1CB7" w:rsidRPr="004048DC" w:rsidRDefault="003B1CB7">
      <w:pPr>
        <w:spacing w:after="80"/>
        <w:rPr>
          <w:rFonts w:ascii="바탕체" w:eastAsia="바탕체" w:hAnsi="바탕체"/>
        </w:rPr>
      </w:pPr>
    </w:p>
    <w:p w14:paraId="6A7F5A91" w14:textId="77777777" w:rsidR="003B1CB7" w:rsidRPr="004048DC" w:rsidRDefault="003B1CB7">
      <w:pPr>
        <w:spacing w:after="80"/>
        <w:rPr>
          <w:rFonts w:ascii="바탕체" w:eastAsia="바탕체" w:hAnsi="바탕체"/>
        </w:rPr>
      </w:pPr>
    </w:p>
    <w:p w14:paraId="0B7376E3" w14:textId="37FE83C9" w:rsidR="003B1CB7" w:rsidRPr="004048DC" w:rsidRDefault="000159B2">
      <w:pPr>
        <w:spacing w:after="120"/>
        <w:jc w:val="center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color w:val="2B4C7E"/>
          <w:sz w:val="30"/>
          <w:szCs w:val="30"/>
        </w:rPr>
        <w:t xml:space="preserve">현행법 조문의 규칙/원칙 </w:t>
      </w:r>
      <w:r w:rsidR="004048DC" w:rsidRPr="004048DC">
        <w:rPr>
          <w:rFonts w:ascii="바탕체" w:eastAsia="바탕체" w:hAnsi="바탕체" w:hint="eastAsia"/>
          <w:color w:val="2B4C7E"/>
          <w:sz w:val="30"/>
          <w:szCs w:val="30"/>
        </w:rPr>
        <w:t>이원화</w:t>
      </w:r>
      <w:r w:rsidRPr="004048DC">
        <w:rPr>
          <w:rFonts w:ascii="바탕체" w:eastAsia="바탕체" w:hAnsi="바탕체"/>
          <w:color w:val="2B4C7E"/>
          <w:sz w:val="30"/>
          <w:szCs w:val="30"/>
        </w:rPr>
        <w:t xml:space="preserve"> 프로그램</w:t>
      </w:r>
    </w:p>
    <w:p w14:paraId="67A4A320" w14:textId="2C8E511F" w:rsidR="003B1CB7" w:rsidRPr="004048DC" w:rsidRDefault="000159B2">
      <w:pPr>
        <w:spacing w:after="120"/>
        <w:jc w:val="center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color w:val="555555"/>
          <w:sz w:val="26"/>
          <w:szCs w:val="26"/>
        </w:rPr>
        <w:t>가능성과 한계에 대한 검토</w:t>
      </w:r>
    </w:p>
    <w:p w14:paraId="3212F976" w14:textId="77777777" w:rsidR="003B1CB7" w:rsidRPr="004048DC" w:rsidRDefault="003B1CB7">
      <w:pPr>
        <w:spacing w:after="80"/>
        <w:rPr>
          <w:rFonts w:ascii="바탕체" w:eastAsia="바탕체" w:hAnsi="바탕체"/>
        </w:rPr>
      </w:pPr>
    </w:p>
    <w:p w14:paraId="1CF900DB" w14:textId="77777777" w:rsidR="003B1CB7" w:rsidRPr="004048DC" w:rsidRDefault="003B1CB7">
      <w:pPr>
        <w:spacing w:after="80"/>
        <w:rPr>
          <w:rFonts w:ascii="바탕체" w:eastAsia="바탕체" w:hAnsi="바탕체"/>
        </w:rPr>
      </w:pPr>
    </w:p>
    <w:p w14:paraId="76C91781" w14:textId="77777777" w:rsidR="004048DC" w:rsidRPr="004048DC" w:rsidRDefault="004048DC">
      <w:pPr>
        <w:spacing w:after="80"/>
        <w:rPr>
          <w:rFonts w:ascii="바탕체" w:eastAsia="바탕체" w:hAnsi="바탕체"/>
        </w:rPr>
      </w:pPr>
    </w:p>
    <w:p w14:paraId="2691FF2E" w14:textId="77777777" w:rsidR="004048DC" w:rsidRPr="004048DC" w:rsidRDefault="004048DC">
      <w:pPr>
        <w:spacing w:after="80"/>
        <w:rPr>
          <w:rFonts w:ascii="바탕체" w:eastAsia="바탕체" w:hAnsi="바탕체"/>
        </w:rPr>
      </w:pPr>
    </w:p>
    <w:p w14:paraId="31F614F0" w14:textId="77777777" w:rsidR="004048DC" w:rsidRPr="004048DC" w:rsidRDefault="004048DC">
      <w:pPr>
        <w:spacing w:after="80"/>
        <w:rPr>
          <w:rFonts w:ascii="바탕체" w:eastAsia="바탕체" w:hAnsi="바탕체"/>
        </w:rPr>
      </w:pPr>
    </w:p>
    <w:p w14:paraId="0ECF1373" w14:textId="77777777" w:rsidR="004048DC" w:rsidRPr="004048DC" w:rsidRDefault="004048DC">
      <w:pPr>
        <w:spacing w:after="80"/>
        <w:rPr>
          <w:rFonts w:ascii="바탕체" w:eastAsia="바탕체" w:hAnsi="바탕체"/>
        </w:rPr>
      </w:pPr>
    </w:p>
    <w:p w14:paraId="16469F31" w14:textId="77777777" w:rsidR="004048DC" w:rsidRPr="004048DC" w:rsidRDefault="004048DC">
      <w:pPr>
        <w:spacing w:after="80"/>
        <w:rPr>
          <w:rFonts w:ascii="바탕체" w:eastAsia="바탕체" w:hAnsi="바탕체"/>
        </w:rPr>
      </w:pPr>
    </w:p>
    <w:p w14:paraId="2E7258F9" w14:textId="77777777" w:rsidR="004048DC" w:rsidRPr="004048DC" w:rsidRDefault="004048DC">
      <w:pPr>
        <w:spacing w:after="80"/>
        <w:rPr>
          <w:rFonts w:ascii="바탕체" w:eastAsia="바탕체" w:hAnsi="바탕체"/>
        </w:rPr>
      </w:pPr>
    </w:p>
    <w:p w14:paraId="772787FB" w14:textId="77777777" w:rsidR="004048DC" w:rsidRPr="004048DC" w:rsidRDefault="004048DC">
      <w:pPr>
        <w:spacing w:after="80"/>
        <w:rPr>
          <w:rFonts w:ascii="바탕체" w:eastAsia="바탕체" w:hAnsi="바탕체"/>
        </w:rPr>
      </w:pPr>
    </w:p>
    <w:p w14:paraId="17A294FF" w14:textId="77777777" w:rsidR="003B1CB7" w:rsidRPr="004048DC" w:rsidRDefault="003B1CB7">
      <w:pPr>
        <w:spacing w:after="80"/>
        <w:rPr>
          <w:rFonts w:ascii="바탕체" w:eastAsia="바탕체" w:hAnsi="바탕체"/>
        </w:rPr>
      </w:pPr>
    </w:p>
    <w:p w14:paraId="533AC065" w14:textId="10EEEF08" w:rsidR="003B1CB7" w:rsidRPr="004048DC" w:rsidRDefault="000159B2">
      <w:pPr>
        <w:spacing w:after="80"/>
        <w:jc w:val="center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sz w:val="24"/>
          <w:szCs w:val="24"/>
        </w:rPr>
        <w:t xml:space="preserve">제출자: </w:t>
      </w:r>
      <w:r w:rsidR="00EF189D" w:rsidRPr="004048DC">
        <w:rPr>
          <w:rFonts w:ascii="바탕체" w:eastAsia="바탕체" w:hAnsi="바탕체" w:hint="eastAsia"/>
          <w:sz w:val="24"/>
          <w:szCs w:val="24"/>
        </w:rPr>
        <w:t>신재룡</w:t>
      </w:r>
    </w:p>
    <w:p w14:paraId="0FF3C0A8" w14:textId="77777777" w:rsidR="003B1CB7" w:rsidRPr="004048DC" w:rsidRDefault="000159B2">
      <w:pPr>
        <w:spacing w:after="80"/>
        <w:jc w:val="center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sz w:val="24"/>
          <w:szCs w:val="24"/>
        </w:rPr>
        <w:t>지도교수: 박도현 교수님</w:t>
      </w:r>
    </w:p>
    <w:p w14:paraId="153297F8" w14:textId="77777777" w:rsidR="003B1CB7" w:rsidRPr="004048DC" w:rsidRDefault="000159B2">
      <w:pPr>
        <w:spacing w:after="80"/>
        <w:jc w:val="center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sz w:val="24"/>
          <w:szCs w:val="24"/>
        </w:rPr>
        <w:t>2025년 2월</w:t>
      </w:r>
    </w:p>
    <w:p w14:paraId="50FCBBA4" w14:textId="77777777" w:rsidR="003B1CB7" w:rsidRPr="004048DC" w:rsidRDefault="000159B2">
      <w:pPr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br w:type="page"/>
      </w:r>
    </w:p>
    <w:p w14:paraId="3AA37C3A" w14:textId="15396D1C" w:rsidR="004048DC" w:rsidRPr="004048DC" w:rsidRDefault="000159B2">
      <w:pPr>
        <w:pStyle w:val="1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lastRenderedPageBreak/>
        <w:t>1. 서론: 과제의 배경과 목적</w:t>
      </w:r>
    </w:p>
    <w:p w14:paraId="38BA3706" w14:textId="3A1294E1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본 보고서는 현행법 조문 전체를 '확정적 법규범(규칙)'과 '법원리 규범(원칙)'으로 이원화하는 자동화 프로그램의 가능성에 대한 탐색적 검토 결과를 정리한 것이다.</w:t>
      </w:r>
    </w:p>
    <w:p w14:paraId="5ADDBEC4" w14:textId="563AE7F0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김도균 교수의 논문 「법적 이익형량의 구조와 정당화문제」(서울대학교 法學 제48권 제2호, 2007)에 따르면, 법규범은 크게 두 유형으로 구분된다. 첫째, 구성요건과 법률효과가 비교적 명확하게 확정된 '확정적 법규범(legal rules)'이고, 둘째, 가능한 한 최대한 실현될 것을 요청하는 이상적 당위로서의 '법원리 규범(legal principles)'이다. 이 구분은 Dworkin과 Alexy의 법이론에 기초한 것으로, 법적 추론의 두 유형(포섭추론과 이익형량)과 직결된다.</w:t>
      </w:r>
    </w:p>
    <w:p w14:paraId="07EC3A07" w14:textId="4A9B7B48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 xml:space="preserve">본 보고서는 다음 </w:t>
      </w:r>
      <w:r w:rsidR="004048DC">
        <w:rPr>
          <w:rFonts w:ascii="바탕체" w:eastAsia="바탕체" w:hAnsi="바탕체" w:hint="eastAsia"/>
        </w:rPr>
        <w:t>두</w:t>
      </w:r>
      <w:r w:rsidRPr="004048DC">
        <w:rPr>
          <w:rFonts w:ascii="바탕체" w:eastAsia="바탕체" w:hAnsi="바탕체"/>
        </w:rPr>
        <w:t xml:space="preserve"> 가지 질문에 답하고자 한다. (</w:t>
      </w:r>
      <w:r w:rsidR="004048DC">
        <w:rPr>
          <w:rFonts w:ascii="바탕체" w:eastAsia="바탕체" w:hAnsi="바탕체" w:hint="eastAsia"/>
        </w:rPr>
        <w:t>1</w:t>
      </w:r>
      <w:r w:rsidRPr="004048DC">
        <w:rPr>
          <w:rFonts w:ascii="바탕체" w:eastAsia="바탕체" w:hAnsi="바탕체"/>
        </w:rPr>
        <w:t>) 수집된 조문을 규칙과 원칙으로 자동 분류하는 것이 기술적으로 가능한가? (</w:t>
      </w:r>
      <w:r w:rsidR="004048DC">
        <w:rPr>
          <w:rFonts w:ascii="바탕체" w:eastAsia="바탕체" w:hAnsi="바탕체" w:hint="eastAsia"/>
        </w:rPr>
        <w:t>2</w:t>
      </w:r>
      <w:r w:rsidRPr="004048DC">
        <w:rPr>
          <w:rFonts w:ascii="바탕체" w:eastAsia="바탕체" w:hAnsi="바탕체"/>
        </w:rPr>
        <w:t>) 가능하다면 어디까지, 불가능하다면 왜 불가능한가?</w:t>
      </w:r>
    </w:p>
    <w:p w14:paraId="0C7AC356" w14:textId="77777777" w:rsidR="003B1CB7" w:rsidRPr="004048DC" w:rsidRDefault="000159B2">
      <w:pPr>
        <w:pStyle w:val="1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2. 이론적 배경: 규칙과 원칙의 구분 기준</w:t>
      </w:r>
    </w:p>
    <w:p w14:paraId="5CA474D6" w14:textId="77777777" w:rsidR="003B1CB7" w:rsidRPr="004048DC" w:rsidRDefault="000159B2">
      <w:pPr>
        <w:pStyle w:val="2"/>
        <w:spacing w:before="360" w:after="200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2.1. 확정적 법규범(규칙)의 특징</w:t>
      </w:r>
    </w:p>
    <w:p w14:paraId="2C23113B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확정적 법규범은 조건적 일반법규범의 형식, 즉 '(x)(Tx → ORx)'의 구조를 가진다. 구성요건(T)과 법률효과(R)가 비교적 명확하게 확정되어 있으며, 구성요건이 충족되면 법률효과가 100% 발생하고 충족되지 않으면 전혀 발생하지 않는 'all-or-nothing' 방식으로 작동한다.</w:t>
      </w:r>
    </w:p>
    <w:p w14:paraId="5858D5F4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b/>
          <w:bCs/>
        </w:rPr>
        <w:t xml:space="preserve">예시: </w:t>
      </w:r>
      <w:r w:rsidRPr="004048DC">
        <w:rPr>
          <w:rFonts w:ascii="바탕체" w:eastAsia="바탕체" w:hAnsi="바탕체"/>
        </w:rPr>
        <w:t>헌법 제67조 제4항 — "대통령으로 선거될 수 있는 자는 국회의원의 피선거권이 있고 선거일 현재 40세에 달하여야 한다." 이 조항은 구성요건(국회의원 피선거권 + 40세)과 법률효과(대통령 후보자격 부여)가 명확하게 확정된 전형적 규칙이다.</w:t>
      </w:r>
    </w:p>
    <w:p w14:paraId="6314E374" w14:textId="77777777" w:rsidR="003B1CB7" w:rsidRPr="004048DC" w:rsidRDefault="000159B2">
      <w:pPr>
        <w:pStyle w:val="2"/>
        <w:spacing w:before="360" w:after="200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2.2. 법원리 규범(원칙)의 특징</w:t>
      </w:r>
    </w:p>
    <w:p w14:paraId="3366D5F9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법원리는 구성요건이나 법률효과가 확정적이지 않으며, '가능한 한 최대한 실현되는 형식'을 가진다. Alexy의 표현을 빌리면 '최적화 명령(Optimierungsgebote)'이다. 법원리는 다른 법원리와 충돌할 때 어느 한쪽이 영원히 무효가 되는 것이 아니라, 해당 사안에서 '비중(weight)'을 비교하여 우선순위를 정한다.</w:t>
      </w:r>
    </w:p>
    <w:p w14:paraId="0B2B7C77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b/>
          <w:bCs/>
        </w:rPr>
        <w:t xml:space="preserve">예시: </w:t>
      </w:r>
      <w:r w:rsidRPr="004048DC">
        <w:rPr>
          <w:rFonts w:ascii="바탕체" w:eastAsia="바탕체" w:hAnsi="바탕체"/>
        </w:rPr>
        <w:t xml:space="preserve">헌법 제10조 — "모든 국민은 인간으로서의 존엄과 가치를 가지며, 행복을 추구할 </w:t>
      </w:r>
      <w:r w:rsidRPr="004048DC">
        <w:rPr>
          <w:rFonts w:ascii="바탕체" w:eastAsia="바탕체" w:hAnsi="바탕체"/>
        </w:rPr>
        <w:lastRenderedPageBreak/>
        <w:t>권리를 가진다." 구성요건과 법률효과의 내용이 명확하지 않고, 다른 가치와의 관계 속에서 다양한 정도로 실현될 수 있는 전형적 원칙이다.</w:t>
      </w:r>
    </w:p>
    <w:p w14:paraId="1E528DE4" w14:textId="77777777" w:rsidR="003B1CB7" w:rsidRPr="004048DC" w:rsidRDefault="000159B2">
      <w:pPr>
        <w:pStyle w:val="2"/>
        <w:spacing w:before="360" w:after="200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2.3. 양자의 핵심 구분 기준 정리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13"/>
        <w:gridCol w:w="3413"/>
      </w:tblGrid>
      <w:tr w:rsidR="003B1CB7" w:rsidRPr="004048DC" w14:paraId="2987FAE4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A2131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b/>
                <w:bCs/>
                <w:color w:val="FFFFFF"/>
                <w:sz w:val="20"/>
                <w:szCs w:val="20"/>
              </w:rPr>
              <w:t>구분 기준</w:t>
            </w:r>
          </w:p>
        </w:tc>
        <w:tc>
          <w:tcPr>
            <w:tcW w:w="34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84BEF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b/>
                <w:bCs/>
                <w:color w:val="FFFFFF"/>
                <w:sz w:val="20"/>
                <w:szCs w:val="20"/>
              </w:rPr>
              <w:t>확정적 법규범(규칙)</w:t>
            </w:r>
          </w:p>
        </w:tc>
        <w:tc>
          <w:tcPr>
            <w:tcW w:w="34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B4C7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608AF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b/>
                <w:bCs/>
                <w:color w:val="FFFFFF"/>
                <w:sz w:val="20"/>
                <w:szCs w:val="20"/>
              </w:rPr>
              <w:t>법원리 규범(원칙)</w:t>
            </w:r>
          </w:p>
        </w:tc>
      </w:tr>
      <w:tr w:rsidR="003B1CB7" w:rsidRPr="004048DC" w14:paraId="225A52BB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0C415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color w:val="000000"/>
                <w:sz w:val="20"/>
                <w:szCs w:val="20"/>
              </w:rPr>
              <w:t>구성요건·법률효과</w:t>
            </w:r>
          </w:p>
        </w:tc>
        <w:tc>
          <w:tcPr>
            <w:tcW w:w="34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F4FDD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color w:val="000000"/>
                <w:sz w:val="20"/>
                <w:szCs w:val="20"/>
              </w:rPr>
              <w:t>비교적 명확하게 확정</w:t>
            </w:r>
          </w:p>
        </w:tc>
        <w:tc>
          <w:tcPr>
            <w:tcW w:w="34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7C33F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color w:val="000000"/>
                <w:sz w:val="20"/>
                <w:szCs w:val="20"/>
              </w:rPr>
              <w:t>불확정적, 추상적</w:t>
            </w:r>
          </w:p>
        </w:tc>
      </w:tr>
      <w:tr w:rsidR="003B1CB7" w:rsidRPr="004048DC" w14:paraId="65EE3113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499BC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color w:val="000000"/>
                <w:sz w:val="20"/>
                <w:szCs w:val="20"/>
              </w:rPr>
              <w:t>효력 발생 방식</w:t>
            </w:r>
          </w:p>
        </w:tc>
        <w:tc>
          <w:tcPr>
            <w:tcW w:w="34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ABE47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color w:val="000000"/>
                <w:sz w:val="20"/>
                <w:szCs w:val="20"/>
              </w:rPr>
              <w:t>전부 아니면 무 (all-or-nothing)</w:t>
            </w:r>
          </w:p>
        </w:tc>
        <w:tc>
          <w:tcPr>
            <w:tcW w:w="34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282BC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color w:val="000000"/>
                <w:sz w:val="20"/>
                <w:szCs w:val="20"/>
              </w:rPr>
              <w:t>정도의 문제 (최적화)</w:t>
            </w:r>
          </w:p>
        </w:tc>
      </w:tr>
      <w:tr w:rsidR="003B1CB7" w:rsidRPr="004048DC" w14:paraId="5D3BA71A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D8A61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color w:val="000000"/>
                <w:sz w:val="20"/>
                <w:szCs w:val="20"/>
              </w:rPr>
              <w:t>충돌 시 해결</w:t>
            </w:r>
          </w:p>
        </w:tc>
        <w:tc>
          <w:tcPr>
            <w:tcW w:w="34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29B55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color w:val="000000"/>
                <w:sz w:val="20"/>
                <w:szCs w:val="20"/>
              </w:rPr>
              <w:t>특별법우선, 신법우선 등 → 무효 선언</w:t>
            </w:r>
          </w:p>
        </w:tc>
        <w:tc>
          <w:tcPr>
            <w:tcW w:w="34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DDB87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color w:val="000000"/>
                <w:sz w:val="20"/>
                <w:szCs w:val="20"/>
              </w:rPr>
              <w:t>해당 사안에서 비중 비교 → 형량</w:t>
            </w:r>
          </w:p>
        </w:tc>
      </w:tr>
      <w:tr w:rsidR="003B1CB7" w:rsidRPr="004048DC" w14:paraId="77393512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68136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color w:val="000000"/>
                <w:sz w:val="20"/>
                <w:szCs w:val="20"/>
              </w:rPr>
              <w:t>논리적 구조</w:t>
            </w:r>
          </w:p>
        </w:tc>
        <w:tc>
          <w:tcPr>
            <w:tcW w:w="34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7DC9E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color w:val="000000"/>
                <w:sz w:val="20"/>
                <w:szCs w:val="20"/>
              </w:rPr>
              <w:t>(x)(Tx → ORx) 조건문 형식</w:t>
            </w:r>
          </w:p>
        </w:tc>
        <w:tc>
          <w:tcPr>
            <w:tcW w:w="34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777BB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color w:val="000000"/>
                <w:sz w:val="20"/>
                <w:szCs w:val="20"/>
              </w:rPr>
              <w:t>최적화 명령 (가능한 한 최대 실현)</w:t>
            </w:r>
          </w:p>
        </w:tc>
      </w:tr>
      <w:tr w:rsidR="003B1CB7" w:rsidRPr="004048DC" w14:paraId="404688C1" w14:textId="77777777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5E235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color w:val="000000"/>
                <w:sz w:val="20"/>
                <w:szCs w:val="20"/>
              </w:rPr>
              <w:t>적용 방식</w:t>
            </w:r>
          </w:p>
        </w:tc>
        <w:tc>
          <w:tcPr>
            <w:tcW w:w="34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3F009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color w:val="000000"/>
                <w:sz w:val="20"/>
                <w:szCs w:val="20"/>
              </w:rPr>
              <w:t>포섭(법적 삼단논법)</w:t>
            </w:r>
          </w:p>
        </w:tc>
        <w:tc>
          <w:tcPr>
            <w:tcW w:w="3413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C4883" w14:textId="77777777" w:rsidR="003B1CB7" w:rsidRPr="004048DC" w:rsidRDefault="000159B2">
            <w:pPr>
              <w:rPr>
                <w:rFonts w:ascii="바탕체" w:eastAsia="바탕체" w:hAnsi="바탕체"/>
              </w:rPr>
            </w:pPr>
            <w:r w:rsidRPr="004048DC">
              <w:rPr>
                <w:rFonts w:ascii="바탕체" w:eastAsia="바탕체" w:hAnsi="바탕체"/>
                <w:color w:val="000000"/>
                <w:sz w:val="20"/>
                <w:szCs w:val="20"/>
              </w:rPr>
              <w:t>이익형량(비중 비교)</w:t>
            </w:r>
          </w:p>
        </w:tc>
      </w:tr>
    </w:tbl>
    <w:p w14:paraId="6CF932AC" w14:textId="77777777" w:rsidR="003B1CB7" w:rsidRPr="004048DC" w:rsidRDefault="003B1CB7">
      <w:pPr>
        <w:spacing w:after="80"/>
        <w:rPr>
          <w:rFonts w:ascii="바탕체" w:eastAsia="바탕체" w:hAnsi="바탕체"/>
        </w:rPr>
      </w:pPr>
    </w:p>
    <w:p w14:paraId="2F19D32B" w14:textId="77777777" w:rsidR="003B1CB7" w:rsidRPr="004048DC" w:rsidRDefault="000159B2">
      <w:pPr>
        <w:pStyle w:val="1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3. 기술적 검토: 데이터 수집과 자동 분류</w:t>
      </w:r>
    </w:p>
    <w:p w14:paraId="42197734" w14:textId="569CBF2D" w:rsidR="003B1CB7" w:rsidRPr="004048DC" w:rsidRDefault="000159B2">
      <w:pPr>
        <w:pStyle w:val="2"/>
        <w:spacing w:before="360" w:after="200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3.</w:t>
      </w:r>
      <w:r w:rsidR="004048DC">
        <w:rPr>
          <w:rFonts w:ascii="바탕체" w:eastAsia="바탕체" w:hAnsi="바탕체" w:hint="eastAsia"/>
        </w:rPr>
        <w:t>1</w:t>
      </w:r>
      <w:r w:rsidRPr="004048DC">
        <w:rPr>
          <w:rFonts w:ascii="바탕체" w:eastAsia="바탕체" w:hAnsi="바탕체"/>
        </w:rPr>
        <w:t>. 자동 분류의 접근 방식</w:t>
      </w:r>
    </w:p>
    <w:p w14:paraId="65FEE62C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수집된 조문을 규칙과 원칙으로 자동 분류하는 접근은 크게 세 가지로 나눌 수 있다.</w:t>
      </w:r>
    </w:p>
    <w:p w14:paraId="7ED11AF2" w14:textId="45C671AC" w:rsidR="003B1CB7" w:rsidRPr="004048DC" w:rsidRDefault="004048DC">
      <w:pPr>
        <w:pStyle w:val="3"/>
        <w:spacing w:before="360" w:after="200"/>
        <w:rPr>
          <w:rFonts w:ascii="바탕체" w:eastAsia="바탕체" w:hAnsi="바탕체"/>
          <w:color w:val="000000" w:themeColor="text1"/>
        </w:rPr>
      </w:pPr>
      <w:r w:rsidRPr="004048DC">
        <w:rPr>
          <w:rFonts w:ascii="바탕체" w:eastAsia="바탕체" w:hAnsi="바탕체" w:hint="eastAsia"/>
          <w:color w:val="000000" w:themeColor="text1"/>
        </w:rPr>
        <w:t xml:space="preserve">(1) </w:t>
      </w:r>
      <w:r w:rsidR="000159B2" w:rsidRPr="004048DC">
        <w:rPr>
          <w:rFonts w:ascii="바탕체" w:eastAsia="바탕체" w:hAnsi="바탕체"/>
          <w:color w:val="000000" w:themeColor="text1"/>
        </w:rPr>
        <w:t>규칙 기반(Rule-based) 접근</w:t>
      </w:r>
    </w:p>
    <w:p w14:paraId="3703A482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조문의 텍스트에서 규칙 또는 원칙에 해당하는 언어적 표지(linguistic markers)를 패턴 매칭으로 탐지하는 방법이다.</w:t>
      </w:r>
    </w:p>
    <w:p w14:paraId="21CAECF7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b/>
          <w:bCs/>
        </w:rPr>
        <w:t>규칙(확정적 법규범)의 텍스트 표지:</w:t>
      </w:r>
    </w:p>
    <w:p w14:paraId="00F17C20" w14:textId="77777777" w:rsidR="003B1CB7" w:rsidRPr="004048DC" w:rsidRDefault="000159B2">
      <w:pPr>
        <w:pStyle w:val="a4"/>
        <w:numPr>
          <w:ilvl w:val="0"/>
          <w:numId w:val="2"/>
        </w:numPr>
        <w:spacing w:after="80" w:line="34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명확한 조건–결과 구조: "…하는 경우에는 …한다", "…한 자는 …에 처한다"</w:t>
      </w:r>
    </w:p>
    <w:p w14:paraId="4B339A89" w14:textId="77777777" w:rsidR="003B1CB7" w:rsidRPr="004048DC" w:rsidRDefault="000159B2">
      <w:pPr>
        <w:pStyle w:val="a4"/>
        <w:numPr>
          <w:ilvl w:val="0"/>
          <w:numId w:val="2"/>
        </w:numPr>
        <w:spacing w:after="80" w:line="34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구체적 수치/기한: "40세", "3년 이하", "1천만원 이하", "30일 이내"</w:t>
      </w:r>
    </w:p>
    <w:p w14:paraId="15BC5B7B" w14:textId="77777777" w:rsidR="003B1CB7" w:rsidRPr="004048DC" w:rsidRDefault="000159B2">
      <w:pPr>
        <w:pStyle w:val="a4"/>
        <w:numPr>
          <w:ilvl w:val="0"/>
          <w:numId w:val="2"/>
        </w:numPr>
        <w:spacing w:after="80" w:line="34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열거적 구성요건: "다음 각 호의 어느 하나에 해당하는"</w:t>
      </w:r>
    </w:p>
    <w:p w14:paraId="760E373A" w14:textId="77777777" w:rsidR="003B1CB7" w:rsidRPr="004048DC" w:rsidRDefault="000159B2">
      <w:pPr>
        <w:pStyle w:val="a4"/>
        <w:numPr>
          <w:ilvl w:val="0"/>
          <w:numId w:val="2"/>
        </w:numPr>
        <w:spacing w:after="80" w:line="34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절차적 규정: "…을 신청하여야 한다", "…에 의하여 설립한다"</w:t>
      </w:r>
    </w:p>
    <w:p w14:paraId="1A699918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b/>
          <w:bCs/>
        </w:rPr>
        <w:t>원칙(법원리 규범)의 텍스트 표지:</w:t>
      </w:r>
    </w:p>
    <w:p w14:paraId="6022EC48" w14:textId="77777777" w:rsidR="003B1CB7" w:rsidRPr="004048DC" w:rsidRDefault="000159B2">
      <w:pPr>
        <w:pStyle w:val="a4"/>
        <w:numPr>
          <w:ilvl w:val="0"/>
          <w:numId w:val="2"/>
        </w:numPr>
        <w:spacing w:after="80" w:line="34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추상적 가치 선언: "존엄", "자유", "평등", "정의", "복지"</w:t>
      </w:r>
    </w:p>
    <w:p w14:paraId="36CF79B2" w14:textId="77777777" w:rsidR="003B1CB7" w:rsidRPr="004048DC" w:rsidRDefault="000159B2">
      <w:pPr>
        <w:pStyle w:val="a4"/>
        <w:numPr>
          <w:ilvl w:val="0"/>
          <w:numId w:val="2"/>
        </w:numPr>
        <w:spacing w:after="80" w:line="34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최적화 표현: "…을 보장한다", "…을 위하여 노력하여야 한다", "…을 존중하여야 한다"</w:t>
      </w:r>
    </w:p>
    <w:p w14:paraId="507C7EF3" w14:textId="77777777" w:rsidR="003B1CB7" w:rsidRPr="004048DC" w:rsidRDefault="000159B2">
      <w:pPr>
        <w:pStyle w:val="a4"/>
        <w:numPr>
          <w:ilvl w:val="0"/>
          <w:numId w:val="2"/>
        </w:numPr>
        <w:spacing w:after="80" w:line="34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불확정 개념 사용: "공공복리", "공공의 이익", "사회적 정의", "신의성실"</w:t>
      </w:r>
    </w:p>
    <w:p w14:paraId="531F0F96" w14:textId="2A286F23" w:rsidR="003B1CB7" w:rsidRPr="004048DC" w:rsidRDefault="00B14726">
      <w:pPr>
        <w:pStyle w:val="a4"/>
        <w:numPr>
          <w:ilvl w:val="0"/>
          <w:numId w:val="2"/>
        </w:numPr>
        <w:spacing w:after="160" w:line="34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lastRenderedPageBreak/>
        <w:t>법의 취지</w:t>
      </w:r>
      <w:r w:rsidR="000159B2" w:rsidRPr="004048DC">
        <w:rPr>
          <w:rFonts w:ascii="바탕체" w:eastAsia="바탕체" w:hAnsi="바탕체"/>
        </w:rPr>
        <w:t>(국가 목표 규정): "…을 실현하기 위하여", "…의 향상을 위하여"</w:t>
      </w:r>
    </w:p>
    <w:p w14:paraId="69A5C921" w14:textId="6DA3D320" w:rsidR="003B1CB7" w:rsidRPr="004048DC" w:rsidRDefault="004048DC">
      <w:pPr>
        <w:pStyle w:val="3"/>
        <w:spacing w:before="360" w:after="200"/>
        <w:rPr>
          <w:rFonts w:ascii="바탕체" w:eastAsia="바탕체" w:hAnsi="바탕체"/>
          <w:color w:val="000000" w:themeColor="text1"/>
        </w:rPr>
      </w:pPr>
      <w:r>
        <w:rPr>
          <w:rFonts w:ascii="바탕체" w:eastAsia="바탕체" w:hAnsi="바탕체" w:hint="eastAsia"/>
          <w:color w:val="000000" w:themeColor="text1"/>
        </w:rPr>
        <w:t xml:space="preserve">(2) </w:t>
      </w:r>
      <w:r w:rsidR="000159B2" w:rsidRPr="004048DC">
        <w:rPr>
          <w:rFonts w:ascii="바탕체" w:eastAsia="바탕체" w:hAnsi="바탕체"/>
          <w:color w:val="000000" w:themeColor="text1"/>
        </w:rPr>
        <w:t>머신러닝(ML) 기반 접근</w:t>
      </w:r>
    </w:p>
    <w:p w14:paraId="1821D673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전문가(법학자)가 일정 수의 조문에 대해 규칙/원칙 레이블을 부여한 학습 데이터를 구축한 뒤, 텍스트 분류 모델을 훈련하는 방법이다. 형태소 분석 후 TF-IDF 벡터화를 거쳐 SVM, Random Forest 등의 분류기를 적용하거나, 한국어 사전학습 언어모델(KoBERT, KoELECTRA 등)을 파인튜닝하는 방식이 가능하다.</w:t>
      </w:r>
    </w:p>
    <w:p w14:paraId="652CBCFC" w14:textId="2EFD8800" w:rsidR="003B1CB7" w:rsidRPr="004048DC" w:rsidRDefault="004048DC">
      <w:pPr>
        <w:pStyle w:val="3"/>
        <w:spacing w:before="360" w:after="200"/>
        <w:rPr>
          <w:rFonts w:ascii="바탕체" w:eastAsia="바탕체" w:hAnsi="바탕체"/>
          <w:color w:val="000000" w:themeColor="text1"/>
        </w:rPr>
      </w:pPr>
      <w:r>
        <w:rPr>
          <w:rFonts w:ascii="바탕체" w:eastAsia="바탕체" w:hAnsi="바탕체" w:hint="eastAsia"/>
          <w:color w:val="000000" w:themeColor="text1"/>
        </w:rPr>
        <w:t>(3)</w:t>
      </w:r>
      <w:r w:rsidR="000159B2" w:rsidRPr="004048DC">
        <w:rPr>
          <w:rFonts w:ascii="바탕체" w:eastAsia="바탕체" w:hAnsi="바탕체"/>
          <w:color w:val="000000" w:themeColor="text1"/>
        </w:rPr>
        <w:t xml:space="preserve"> LLM(대규모 언어모델) 기반 접근</w:t>
      </w:r>
    </w:p>
    <w:p w14:paraId="005B0D22" w14:textId="2A2708C0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GPT-4, Claude</w:t>
      </w:r>
      <w:r w:rsidR="00B14726">
        <w:rPr>
          <w:rFonts w:ascii="바탕체" w:eastAsia="바탕체" w:hAnsi="바탕체" w:hint="eastAsia"/>
        </w:rPr>
        <w:t xml:space="preserve">, </w:t>
      </w:r>
      <w:r w:rsidR="00B14726">
        <w:rPr>
          <w:rFonts w:ascii="바탕체" w:eastAsia="바탕체" w:hAnsi="바탕체"/>
        </w:rPr>
        <w:t>Gemini</w:t>
      </w:r>
      <w:r w:rsidRPr="004048DC">
        <w:rPr>
          <w:rFonts w:ascii="바탕체" w:eastAsia="바탕체" w:hAnsi="바탕체"/>
        </w:rPr>
        <w:t xml:space="preserve"> 등 대규모 언어모델에 규칙/원칙 구분의 이론적 기준을 프롬프트로 제공한 뒤 각 조문에 대한 분류를 요청하는 방법이다. 별도의 학습 데이터 없이도 zero-shot 또는 few-shot 방식으로 분류가 가능하며, 분류 근거(reasoning)도 함께 출력할 수 있다는 장점이 있다.</w:t>
      </w:r>
    </w:p>
    <w:p w14:paraId="40136EF3" w14:textId="77777777" w:rsidR="003B1CB7" w:rsidRPr="004048DC" w:rsidRDefault="000159B2">
      <w:pPr>
        <w:pStyle w:val="1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4. 핵심 난점과 한계</w:t>
      </w:r>
    </w:p>
    <w:p w14:paraId="44943074" w14:textId="77777777" w:rsidR="003B1CB7" w:rsidRPr="004048DC" w:rsidRDefault="000159B2">
      <w:pPr>
        <w:pStyle w:val="2"/>
        <w:spacing w:before="360" w:after="200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4.1. 이론적 난점: 이분법의 한계</w:t>
      </w:r>
    </w:p>
    <w:p w14:paraId="0413A1A5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규칙/원칙 구분은 이론적으로 명쾌하지만, 실제 법조문에 적용할 때 다음과 같은 근본적 어려움이 있다.</w:t>
      </w:r>
    </w:p>
    <w:p w14:paraId="002CDFB5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b/>
          <w:bCs/>
        </w:rPr>
        <w:t xml:space="preserve">(1) 스펙트럼의 문제: </w:t>
      </w:r>
      <w:r w:rsidRPr="004048DC">
        <w:rPr>
          <w:rFonts w:ascii="바탕체" w:eastAsia="바탕체" w:hAnsi="바탕체"/>
        </w:rPr>
        <w:t>상당수의 조문이 규칙과 원칙의 중간지대에 위치한다. 예컨대 불확정 개념을 포함하는 규칙(도로교통법 제7조의 '교통상의 혼잡이 뚜렷하게 염려되는 때')이나, 재량을 부여하는 규정은 규칙의 형식을 띠면서도 원칙적 성격을 일부 가진다. 김도균 교수 역시 이 논문의 각주 11에서 이 문제를 상세히 다루고 있다.</w:t>
      </w:r>
    </w:p>
    <w:p w14:paraId="548ECF09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b/>
          <w:bCs/>
        </w:rPr>
        <w:t xml:space="preserve">(2) 조문 단위 vs. 규범 단위: </w:t>
      </w:r>
      <w:r w:rsidRPr="004048DC">
        <w:rPr>
          <w:rFonts w:ascii="바탕체" w:eastAsia="바탕체" w:hAnsi="바탕체"/>
        </w:rPr>
        <w:t>하나의 조문이 여러 항으로 구성되어 규칙적 항과 원칙적 항이 공존하는 경우가 많다. 예를 들어 헌법 제23조는 제1항("모든 국민의 재산권은 보장된다" — 원칙적 성격)과 제3항("공공필요에 의한 재산권의 수용·사용 또는 제한 및 그에 대한 보상은 법률로써 하되, 정당한 보상을 지급하여야 한다" — 규칙적 성격)이 혼재한다. 분류 단위를 '조' 단위로 할지, '항' 단위로 할지, 또는 '규범' 단위로 재구성할지에 따라 결과가 달라진다.</w:t>
      </w:r>
    </w:p>
    <w:p w14:paraId="05A97387" w14:textId="77777777" w:rsidR="003B1CB7" w:rsidRPr="004048DC" w:rsidRDefault="000159B2">
      <w:pPr>
        <w:spacing w:after="160" w:line="360" w:lineRule="auto"/>
        <w:rPr>
          <w:rFonts w:ascii="바탕체" w:eastAsia="바탕체" w:hAnsi="바탕체" w:hint="eastAsia"/>
        </w:rPr>
      </w:pPr>
      <w:r w:rsidRPr="004048DC">
        <w:rPr>
          <w:rFonts w:ascii="바탕체" w:eastAsia="바탕체" w:hAnsi="바탕체"/>
          <w:b/>
          <w:bCs/>
        </w:rPr>
        <w:t xml:space="preserve">(3) 맥락 의존성: </w:t>
      </w:r>
      <w:r w:rsidRPr="004048DC">
        <w:rPr>
          <w:rFonts w:ascii="바탕체" w:eastAsia="바탕체" w:hAnsi="바탕체"/>
        </w:rPr>
        <w:t>동일한 조문이라도 해석과 적용의 맥락에 따라 규칙으로 기능하기도 하고 원칙으로 기능하기도 한다. 예컨대 민법 제2조의 신의성실 원칙은 원칙으로서 기능</w:t>
      </w:r>
      <w:r w:rsidRPr="004048DC">
        <w:rPr>
          <w:rFonts w:ascii="바탕체" w:eastAsia="바탕체" w:hAnsi="바탕체"/>
        </w:rPr>
        <w:lastRenderedPageBreak/>
        <w:t>하지만, 구체적 판례를 통해 특정 유형의 사안에서 확정적 규칙으로 구체화되기도 한다. 이러한 동적 성격은 텍스트만으로는 포착하기 어렵다.</w:t>
      </w:r>
    </w:p>
    <w:p w14:paraId="50C1A914" w14:textId="77777777" w:rsidR="003B1CB7" w:rsidRPr="004048DC" w:rsidRDefault="000159B2">
      <w:pPr>
        <w:pStyle w:val="2"/>
        <w:spacing w:before="360" w:after="200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4.2. 기술적 난점</w:t>
      </w:r>
    </w:p>
    <w:p w14:paraId="30805675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b/>
          <w:bCs/>
        </w:rPr>
        <w:t xml:space="preserve">(1) 규칙 기반 접근의 한계: </w:t>
      </w:r>
      <w:r w:rsidRPr="004048DC">
        <w:rPr>
          <w:rFonts w:ascii="바탕체" w:eastAsia="바탕체" w:hAnsi="바탕체"/>
        </w:rPr>
        <w:t>텍스트 표지만으로는 정확한 분류가 어렵다. '~한다'라는 종결어미는 규칙에도 원칙에도 나타나며, '보장한다'가 확정적 의미인지 프로그램적 선언인지는 문맥과 법체계 내의 위상에 따라 달라진다. 규칙 기반으로는 높은 재현율(recall)을 달성할 수 있으나, 정밀도(precision)에는 한계가 있을 것으로 예상된다.</w:t>
      </w:r>
    </w:p>
    <w:p w14:paraId="46819973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b/>
          <w:bCs/>
        </w:rPr>
        <w:t xml:space="preserve">(2) ML 기반 접근의 한계: </w:t>
      </w:r>
      <w:r w:rsidRPr="004048DC">
        <w:rPr>
          <w:rFonts w:ascii="바탕체" w:eastAsia="바탕체" w:hAnsi="바탕체"/>
        </w:rPr>
        <w:t>가장 큰 장벽은 골드 스탠다드(gold standard) 데이터의 부재이다. 법학 전문가가 수천 개 이상의 조문에 대해 일관된 기준으로 레이블링한 데이터셋이 존재하지 않으며, 이를 구축하는 것 자체가 상당한 학술적 작업이다. 또한 전문가 간 분류 일치도(inter-annotator agreement)가 높지 않을 가능성이 있다.</w:t>
      </w:r>
    </w:p>
    <w:p w14:paraId="74E8AD89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b/>
          <w:bCs/>
        </w:rPr>
        <w:t xml:space="preserve">(3) LLM 기반 접근의 한계: </w:t>
      </w:r>
      <w:r w:rsidRPr="004048DC">
        <w:rPr>
          <w:rFonts w:ascii="바탕체" w:eastAsia="바탕체" w:hAnsi="바탕체"/>
        </w:rPr>
        <w:t>할루시네이션(hallucination)의 위험과 분류 기준의 일관성 문제가 있다. 대규모 법조문에 대해 일관된 기준을 유지하려면 정교한 프롬프트 엔지니어링과 검증 절차가 필요하다. 다만 전문가 레이블링의 보조 도구로서는 유용할 수 있다.</w:t>
      </w:r>
    </w:p>
    <w:p w14:paraId="1D565C07" w14:textId="77777777" w:rsidR="003B1CB7" w:rsidRPr="004048DC" w:rsidRDefault="000159B2">
      <w:pPr>
        <w:pStyle w:val="1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5. 실현 가능한 접근 방안 제안</w:t>
      </w:r>
    </w:p>
    <w:p w14:paraId="127464FA" w14:textId="536AAA9F" w:rsidR="003B1CB7" w:rsidRPr="004048DC" w:rsidRDefault="000159B2" w:rsidP="004048DC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위 검토를 종합하면, '전체 법조문의 완전한 자동 이원화'는 현 시점에서 단일 프로그램으로 달성하기 어렵다. 그러나 단계적으로 접근하면 의미 있는 성과를 기대할 수 있다.</w:t>
      </w:r>
    </w:p>
    <w:p w14:paraId="165272E9" w14:textId="27CB12CA" w:rsidR="003B1CB7" w:rsidRPr="004048DC" w:rsidRDefault="004048DC">
      <w:pPr>
        <w:spacing w:after="160"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  <w:b/>
          <w:bCs/>
        </w:rPr>
        <w:t>1</w:t>
      </w:r>
      <w:r w:rsidR="000159B2" w:rsidRPr="004048DC">
        <w:rPr>
          <w:rFonts w:ascii="바탕체" w:eastAsia="바탕체" w:hAnsi="바탕체"/>
          <w:b/>
          <w:bCs/>
        </w:rPr>
        <w:t xml:space="preserve">단계 — '확실한' 규칙 자동 필터링 (부분 자동화 가능): </w:t>
      </w:r>
    </w:p>
    <w:p w14:paraId="740F0EF0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형벌 조항("~에 처한다"), 절차 규정("~하여야 한다" + 구체적 기한/수치), 정의 규정("~이란 ~을 말한다") 등 규칙 기반으로 높은 확신도를 가지고 분류할 수 있는 유형을 먼저 필터링한다. 마찬가지로 헌법 전문, 기본권 일반조항, 국가 목표 규정 등 전형적 원칙도 필터링한다.</w:t>
      </w:r>
    </w:p>
    <w:p w14:paraId="00BCF32B" w14:textId="78B5E5A5" w:rsidR="003B1CB7" w:rsidRPr="004048DC" w:rsidRDefault="004048DC">
      <w:pPr>
        <w:spacing w:after="160"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  <w:b/>
          <w:bCs/>
        </w:rPr>
        <w:t>2</w:t>
      </w:r>
      <w:r w:rsidR="000159B2" w:rsidRPr="004048DC">
        <w:rPr>
          <w:rFonts w:ascii="바탕체" w:eastAsia="바탕체" w:hAnsi="바탕체"/>
          <w:b/>
          <w:bCs/>
        </w:rPr>
        <w:t xml:space="preserve">단계 — 중간지대 조문의 전문가 판단 + LLM 보조: </w:t>
      </w:r>
    </w:p>
    <w:p w14:paraId="6BC97456" w14:textId="7A95BB05" w:rsidR="003B1CB7" w:rsidRPr="004048DC" w:rsidRDefault="004048DC">
      <w:pPr>
        <w:spacing w:after="160"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</w:rPr>
        <w:t>1</w:t>
      </w:r>
      <w:r w:rsidR="000159B2" w:rsidRPr="004048DC">
        <w:rPr>
          <w:rFonts w:ascii="바탕체" w:eastAsia="바탕체" w:hAnsi="바탕체"/>
        </w:rPr>
        <w:t>단계에서 자동 분류되지 않은 '회색지대' 조문에 대해서는, LLM이 분류 후보와 근거를 제시하고 법학 전문가가 최종 판단하는 human-in-the-loop 방식을 제안한다. 이 과정에서 축적되는 전문가 판단은 향후 ML 모델 훈련의 학습 데이터로 활용될 수 있다.</w:t>
      </w:r>
    </w:p>
    <w:p w14:paraId="31B16D04" w14:textId="66DF0D81" w:rsidR="003B1CB7" w:rsidRPr="004048DC" w:rsidRDefault="004048DC">
      <w:pPr>
        <w:spacing w:after="160" w:line="360" w:lineRule="auto"/>
        <w:rPr>
          <w:rFonts w:ascii="바탕체" w:eastAsia="바탕체" w:hAnsi="바탕체"/>
        </w:rPr>
      </w:pPr>
      <w:r>
        <w:rPr>
          <w:rFonts w:ascii="바탕체" w:eastAsia="바탕체" w:hAnsi="바탕체" w:hint="eastAsia"/>
          <w:b/>
          <w:bCs/>
        </w:rPr>
        <w:lastRenderedPageBreak/>
        <w:t>3</w:t>
      </w:r>
      <w:r w:rsidR="000159B2" w:rsidRPr="004048DC">
        <w:rPr>
          <w:rFonts w:ascii="바탕체" w:eastAsia="바탕체" w:hAnsi="바탕체"/>
          <w:b/>
          <w:bCs/>
        </w:rPr>
        <w:t xml:space="preserve">단계 — ML 모델 훈련 및 반복 개선: </w:t>
      </w:r>
      <w:r>
        <w:rPr>
          <w:rFonts w:ascii="바탕체" w:eastAsia="바탕체" w:hAnsi="바탕체" w:hint="eastAsia"/>
        </w:rPr>
        <w:t>2</w:t>
      </w:r>
      <w:r w:rsidR="000159B2" w:rsidRPr="004048DC">
        <w:rPr>
          <w:rFonts w:ascii="바탕체" w:eastAsia="바탕체" w:hAnsi="바탕체"/>
        </w:rPr>
        <w:t>단계에서 축적된 레이블 데이터를 바탕으로 한국어 법률 텍스트에 특화된 분류 모델을 훈련한다. 모델의 예측과 전문가 판단의 불일치 사례를 분석하여 이론적 논의에도 기여할 수 있다.</w:t>
      </w:r>
    </w:p>
    <w:p w14:paraId="7EB00279" w14:textId="77777777" w:rsidR="003B1CB7" w:rsidRPr="004048DC" w:rsidRDefault="000159B2">
      <w:pPr>
        <w:pStyle w:val="1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6. 결론</w:t>
      </w:r>
    </w:p>
    <w:p w14:paraId="7C0E6328" w14:textId="78A467D6" w:rsidR="003B1CB7" w:rsidRPr="004048DC" w:rsidRDefault="000159B2" w:rsidP="004048DC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본 검토의 결론은 다음과 같다.</w:t>
      </w:r>
    </w:p>
    <w:p w14:paraId="4EFEE65F" w14:textId="77777777" w:rsidR="003B1CB7" w:rsidRPr="004048DC" w:rsidRDefault="000159B2">
      <w:pPr>
        <w:pStyle w:val="a4"/>
        <w:numPr>
          <w:ilvl w:val="0"/>
          <w:numId w:val="3"/>
        </w:numPr>
        <w:spacing w:after="100" w:line="34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b/>
          <w:bCs/>
        </w:rPr>
        <w:t xml:space="preserve">완전한 자동 분류는 현 시점에서 불가능하다. </w:t>
      </w:r>
      <w:r w:rsidRPr="004048DC">
        <w:rPr>
          <w:rFonts w:ascii="바탕체" w:eastAsia="바탕체" w:hAnsi="바탕체"/>
        </w:rPr>
        <w:t>규칙/원칙 구분은 텍스트의 표면적 특성만으로 결정되지 않으며, 법체계 내의 위상, 해석적 맥락, 다른 규범과의 관계 등을 종합적으로 고려해야 한다. 이는 법학적 전문 판단의 영역이다.</w:t>
      </w:r>
    </w:p>
    <w:p w14:paraId="23D8B97C" w14:textId="77777777" w:rsidR="003B1CB7" w:rsidRPr="004048DC" w:rsidRDefault="000159B2">
      <w:pPr>
        <w:pStyle w:val="a4"/>
        <w:numPr>
          <w:ilvl w:val="0"/>
          <w:numId w:val="3"/>
        </w:numPr>
        <w:spacing w:after="100" w:line="34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b/>
          <w:bCs/>
        </w:rPr>
        <w:t xml:space="preserve">부분적 자동화는 유의미하다. </w:t>
      </w:r>
      <w:r w:rsidRPr="004048DC">
        <w:rPr>
          <w:rFonts w:ascii="바탕체" w:eastAsia="바탕체" w:hAnsi="바탕체"/>
        </w:rPr>
        <w:t>전형적 규칙(형벌 조항, 정의 규정, 절차 규정 등)과 전형적 원칙(기본권 일반조항, 국가 목표 규정 등)의 자동 필터링은 상당한 정확도로 가능하며, 전체 작업의 효율성을 크게 높일 수 있다.</w:t>
      </w:r>
    </w:p>
    <w:p w14:paraId="46FAAEB4" w14:textId="77777777" w:rsidR="003B1CB7" w:rsidRPr="004048DC" w:rsidRDefault="003B1CB7">
      <w:pPr>
        <w:spacing w:after="80"/>
        <w:rPr>
          <w:rFonts w:ascii="바탕체" w:eastAsia="바탕체" w:hAnsi="바탕체"/>
        </w:rPr>
      </w:pPr>
    </w:p>
    <w:p w14:paraId="1A0D1A8A" w14:textId="77777777" w:rsidR="003B1CB7" w:rsidRPr="004048DC" w:rsidRDefault="000159B2">
      <w:pPr>
        <w:pStyle w:val="1"/>
        <w:rPr>
          <w:rFonts w:ascii="바탕체" w:eastAsia="바탕체" w:hAnsi="바탕체"/>
        </w:rPr>
      </w:pPr>
      <w:r w:rsidRPr="004048DC">
        <w:rPr>
          <w:rFonts w:ascii="바탕체" w:eastAsia="바탕체" w:hAnsi="바탕체"/>
        </w:rPr>
        <w:t>참고문헌</w:t>
      </w:r>
    </w:p>
    <w:p w14:paraId="6121E097" w14:textId="32BD4BE1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i/>
          <w:iCs/>
        </w:rPr>
        <w:t>김도균, 「법적 이익형량의 구조와 정당화문제」, 서울대학교 法學 제48권 제2호, 2007, 31–115면.</w:t>
      </w:r>
    </w:p>
    <w:p w14:paraId="6BB1EB2D" w14:textId="77777777" w:rsidR="003B1CB7" w:rsidRPr="004048DC" w:rsidRDefault="000159B2">
      <w:pPr>
        <w:spacing w:after="160" w:line="360" w:lineRule="auto"/>
        <w:rPr>
          <w:rFonts w:ascii="바탕체" w:eastAsia="바탕체" w:hAnsi="바탕체"/>
        </w:rPr>
      </w:pPr>
      <w:r w:rsidRPr="004048DC">
        <w:rPr>
          <w:rFonts w:ascii="바탕체" w:eastAsia="바탕체" w:hAnsi="바탕체"/>
          <w:i/>
          <w:iCs/>
        </w:rPr>
        <w:t>국가법령정보센터 Open API (https://open.law.go.kr)</w:t>
      </w:r>
    </w:p>
    <w:sectPr w:rsidR="003B1CB7" w:rsidRPr="004048D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altName w:val="BatangChe"/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0227E"/>
    <w:multiLevelType w:val="hybridMultilevel"/>
    <w:tmpl w:val="B07E3D8C"/>
    <w:lvl w:ilvl="0" w:tplc="7C5E7EAE">
      <w:start w:val="1"/>
      <w:numFmt w:val="bullet"/>
      <w:lvlText w:val="●"/>
      <w:lvlJc w:val="left"/>
      <w:pPr>
        <w:ind w:left="720" w:hanging="360"/>
      </w:pPr>
    </w:lvl>
    <w:lvl w:ilvl="1" w:tplc="761A5034">
      <w:start w:val="1"/>
      <w:numFmt w:val="bullet"/>
      <w:lvlText w:val="○"/>
      <w:lvlJc w:val="left"/>
      <w:pPr>
        <w:ind w:left="1440" w:hanging="360"/>
      </w:pPr>
    </w:lvl>
    <w:lvl w:ilvl="2" w:tplc="2D3A8BEE">
      <w:start w:val="1"/>
      <w:numFmt w:val="bullet"/>
      <w:lvlText w:val="■"/>
      <w:lvlJc w:val="left"/>
      <w:pPr>
        <w:ind w:left="2160" w:hanging="360"/>
      </w:pPr>
    </w:lvl>
    <w:lvl w:ilvl="3" w:tplc="D56E84F6">
      <w:start w:val="1"/>
      <w:numFmt w:val="bullet"/>
      <w:lvlText w:val="●"/>
      <w:lvlJc w:val="left"/>
      <w:pPr>
        <w:ind w:left="2880" w:hanging="360"/>
      </w:pPr>
    </w:lvl>
    <w:lvl w:ilvl="4" w:tplc="5AA6FE8E">
      <w:start w:val="1"/>
      <w:numFmt w:val="bullet"/>
      <w:lvlText w:val="○"/>
      <w:lvlJc w:val="left"/>
      <w:pPr>
        <w:ind w:left="3600" w:hanging="360"/>
      </w:pPr>
    </w:lvl>
    <w:lvl w:ilvl="5" w:tplc="3E3E51FC">
      <w:start w:val="1"/>
      <w:numFmt w:val="bullet"/>
      <w:lvlText w:val="■"/>
      <w:lvlJc w:val="left"/>
      <w:pPr>
        <w:ind w:left="4320" w:hanging="360"/>
      </w:pPr>
    </w:lvl>
    <w:lvl w:ilvl="6" w:tplc="A82AD154">
      <w:start w:val="1"/>
      <w:numFmt w:val="bullet"/>
      <w:lvlText w:val="●"/>
      <w:lvlJc w:val="left"/>
      <w:pPr>
        <w:ind w:left="5040" w:hanging="360"/>
      </w:pPr>
    </w:lvl>
    <w:lvl w:ilvl="7" w:tplc="138ADC32">
      <w:start w:val="1"/>
      <w:numFmt w:val="bullet"/>
      <w:lvlText w:val="●"/>
      <w:lvlJc w:val="left"/>
      <w:pPr>
        <w:ind w:left="5760" w:hanging="360"/>
      </w:pPr>
    </w:lvl>
    <w:lvl w:ilvl="8" w:tplc="F87EB5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8CE56D6"/>
    <w:multiLevelType w:val="hybridMultilevel"/>
    <w:tmpl w:val="0E205CDE"/>
    <w:lvl w:ilvl="0" w:tplc="05C6CE5E">
      <w:start w:val="1"/>
      <w:numFmt w:val="decimal"/>
      <w:lvlText w:val="%1."/>
      <w:lvlJc w:val="left"/>
      <w:pPr>
        <w:ind w:left="720" w:hanging="360"/>
      </w:pPr>
    </w:lvl>
    <w:lvl w:ilvl="1" w:tplc="7DF6A60E">
      <w:numFmt w:val="decimal"/>
      <w:lvlText w:val=""/>
      <w:lvlJc w:val="left"/>
    </w:lvl>
    <w:lvl w:ilvl="2" w:tplc="F7F2B932">
      <w:numFmt w:val="decimal"/>
      <w:lvlText w:val=""/>
      <w:lvlJc w:val="left"/>
    </w:lvl>
    <w:lvl w:ilvl="3" w:tplc="5C780002">
      <w:numFmt w:val="decimal"/>
      <w:lvlText w:val=""/>
      <w:lvlJc w:val="left"/>
    </w:lvl>
    <w:lvl w:ilvl="4" w:tplc="9F8A00C0">
      <w:numFmt w:val="decimal"/>
      <w:lvlText w:val=""/>
      <w:lvlJc w:val="left"/>
    </w:lvl>
    <w:lvl w:ilvl="5" w:tplc="3A7AC47E">
      <w:numFmt w:val="decimal"/>
      <w:lvlText w:val=""/>
      <w:lvlJc w:val="left"/>
    </w:lvl>
    <w:lvl w:ilvl="6" w:tplc="D13433E0">
      <w:numFmt w:val="decimal"/>
      <w:lvlText w:val=""/>
      <w:lvlJc w:val="left"/>
    </w:lvl>
    <w:lvl w:ilvl="7" w:tplc="8E20DCFC">
      <w:numFmt w:val="decimal"/>
      <w:lvlText w:val=""/>
      <w:lvlJc w:val="left"/>
    </w:lvl>
    <w:lvl w:ilvl="8" w:tplc="6B96E7EA">
      <w:numFmt w:val="decimal"/>
      <w:lvlText w:val=""/>
      <w:lvlJc w:val="left"/>
    </w:lvl>
  </w:abstractNum>
  <w:abstractNum w:abstractNumId="2" w15:restartNumberingAfterBreak="0">
    <w:nsid w:val="1D784AB9"/>
    <w:multiLevelType w:val="hybridMultilevel"/>
    <w:tmpl w:val="A87E6206"/>
    <w:lvl w:ilvl="0" w:tplc="E8D0FDF2">
      <w:start w:val="1"/>
      <w:numFmt w:val="bullet"/>
      <w:lvlText w:val="•"/>
      <w:lvlJc w:val="left"/>
      <w:pPr>
        <w:ind w:left="720" w:hanging="360"/>
      </w:pPr>
    </w:lvl>
    <w:lvl w:ilvl="1" w:tplc="E7AAE4FC">
      <w:numFmt w:val="decimal"/>
      <w:lvlText w:val=""/>
      <w:lvlJc w:val="left"/>
    </w:lvl>
    <w:lvl w:ilvl="2" w:tplc="558443CA">
      <w:numFmt w:val="decimal"/>
      <w:lvlText w:val=""/>
      <w:lvlJc w:val="left"/>
    </w:lvl>
    <w:lvl w:ilvl="3" w:tplc="23FE3A6A">
      <w:numFmt w:val="decimal"/>
      <w:lvlText w:val=""/>
      <w:lvlJc w:val="left"/>
    </w:lvl>
    <w:lvl w:ilvl="4" w:tplc="553A2470">
      <w:numFmt w:val="decimal"/>
      <w:lvlText w:val=""/>
      <w:lvlJc w:val="left"/>
    </w:lvl>
    <w:lvl w:ilvl="5" w:tplc="416A06E0">
      <w:numFmt w:val="decimal"/>
      <w:lvlText w:val=""/>
      <w:lvlJc w:val="left"/>
    </w:lvl>
    <w:lvl w:ilvl="6" w:tplc="027E0CB2">
      <w:numFmt w:val="decimal"/>
      <w:lvlText w:val=""/>
      <w:lvlJc w:val="left"/>
    </w:lvl>
    <w:lvl w:ilvl="7" w:tplc="7120321C">
      <w:numFmt w:val="decimal"/>
      <w:lvlText w:val=""/>
      <w:lvlJc w:val="left"/>
    </w:lvl>
    <w:lvl w:ilvl="8" w:tplc="C994D426">
      <w:numFmt w:val="decimal"/>
      <w:lvlText w:val=""/>
      <w:lvlJc w:val="left"/>
    </w:lvl>
  </w:abstractNum>
  <w:abstractNum w:abstractNumId="3" w15:restartNumberingAfterBreak="0">
    <w:nsid w:val="34E73C57"/>
    <w:multiLevelType w:val="hybridMultilevel"/>
    <w:tmpl w:val="10C49190"/>
    <w:lvl w:ilvl="0" w:tplc="C7B4DDB2">
      <w:start w:val="1"/>
      <w:numFmt w:val="decimal"/>
      <w:lvlText w:val="%1."/>
      <w:lvlJc w:val="left"/>
      <w:pPr>
        <w:ind w:left="720" w:hanging="360"/>
      </w:pPr>
    </w:lvl>
    <w:lvl w:ilvl="1" w:tplc="8800DF42">
      <w:numFmt w:val="decimal"/>
      <w:lvlText w:val=""/>
      <w:lvlJc w:val="left"/>
    </w:lvl>
    <w:lvl w:ilvl="2" w:tplc="9D4CD6AE">
      <w:numFmt w:val="decimal"/>
      <w:lvlText w:val=""/>
      <w:lvlJc w:val="left"/>
    </w:lvl>
    <w:lvl w:ilvl="3" w:tplc="902421F4">
      <w:numFmt w:val="decimal"/>
      <w:lvlText w:val=""/>
      <w:lvlJc w:val="left"/>
    </w:lvl>
    <w:lvl w:ilvl="4" w:tplc="E43EAF08">
      <w:numFmt w:val="decimal"/>
      <w:lvlText w:val=""/>
      <w:lvlJc w:val="left"/>
    </w:lvl>
    <w:lvl w:ilvl="5" w:tplc="60C6189C">
      <w:numFmt w:val="decimal"/>
      <w:lvlText w:val=""/>
      <w:lvlJc w:val="left"/>
    </w:lvl>
    <w:lvl w:ilvl="6" w:tplc="6412785E">
      <w:numFmt w:val="decimal"/>
      <w:lvlText w:val=""/>
      <w:lvlJc w:val="left"/>
    </w:lvl>
    <w:lvl w:ilvl="7" w:tplc="53F2D9DA">
      <w:numFmt w:val="decimal"/>
      <w:lvlText w:val=""/>
      <w:lvlJc w:val="left"/>
    </w:lvl>
    <w:lvl w:ilvl="8" w:tplc="3ECA2BCA">
      <w:numFmt w:val="decimal"/>
      <w:lvlText w:val=""/>
      <w:lvlJc w:val="left"/>
    </w:lvl>
  </w:abstractNum>
  <w:num w:numId="1" w16cid:durableId="387388349">
    <w:abstractNumId w:val="0"/>
    <w:lvlOverride w:ilvl="0">
      <w:startOverride w:val="1"/>
    </w:lvlOverride>
  </w:num>
  <w:num w:numId="2" w16cid:durableId="1172180249">
    <w:abstractNumId w:val="2"/>
    <w:lvlOverride w:ilvl="0">
      <w:startOverride w:val="1"/>
    </w:lvlOverride>
  </w:num>
  <w:num w:numId="3" w16cid:durableId="21440807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8"/>
  <w:displayBackgroundShape/>
  <w:bordersDoNotSurroundHeader/>
  <w:bordersDoNotSurroundFooter/>
  <w:proofState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1CB7"/>
    <w:rsid w:val="000159B2"/>
    <w:rsid w:val="00025035"/>
    <w:rsid w:val="00160F30"/>
    <w:rsid w:val="003B1CB7"/>
    <w:rsid w:val="004048DC"/>
    <w:rsid w:val="009C13FE"/>
    <w:rsid w:val="00B14726"/>
    <w:rsid w:val="00B43513"/>
    <w:rsid w:val="00B73114"/>
    <w:rsid w:val="00EF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FE8D33"/>
  <w15:docId w15:val="{AFDC3B2E-4EC4-1644-B901-E517E5946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80"/>
      <w:outlineLvl w:val="1"/>
    </w:pPr>
    <w:rPr>
      <w:b/>
      <w:bCs/>
      <w:color w:val="2B4C7E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40"/>
      <w:outlineLvl w:val="2"/>
    </w:pPr>
    <w:rPr>
      <w:b/>
      <w:bCs/>
      <w:color w:val="3D609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신재룡</cp:lastModifiedBy>
  <cp:revision>6</cp:revision>
  <dcterms:created xsi:type="dcterms:W3CDTF">2026-02-19T11:12:00Z</dcterms:created>
  <dcterms:modified xsi:type="dcterms:W3CDTF">2026-03-02T05:29:00Z</dcterms:modified>
</cp:coreProperties>
</file>