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##########################################################################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 Script : sae204_e24_partie2.sql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Auteur : LE SECH &amp; LE CHEVERE - Groupe 1E2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 Date : 13 juin 2025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 Ce script SQL sert à remplir la base de données définie dans le schéma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 ‘sae204_partie2_schema.sql’ en important les données réelles provenant de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 différentes sources de l’IUT de Lannion : admissions, inscriptions, résultats.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 Réflexion sur l’efficacité computationnelle et énergétique 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 Pour ce projet, on a cherché à limiter au maximum la charge sur le système,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 tout en gardant un import fiable et complet. Voici comment on s’y est pris 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-- 1. Relâchement temporaire des contraintes 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    - On enlève temporairement les contraintes `NOT NULL` et les clés étrangères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      au début pour éviter que des erreurs bloquent l’import.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    - On remet les contraintes une fois les données nettoyées et vérifiées.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-- 2. Import en gros blocs 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    - On utilise `WbImport` pour importer les fichiers complets d’un coup,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      ce qui évite de faire des insertions ligne par ligne, souvent longues.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    - On active `-continueOnError=true` pour que le script ne s’arrête pas si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      quelques lignes posent problème.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-- 3. Nettoyage des données en base 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    - Les valeurs spéciales comme `~` ou `-c-` sont gérées directement avec du SQL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      après import, plutôt que de faire ça en dehors.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    - On utilise des `JOIN` et `SELECT DISTINCT` pour garantir que les données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      finales soient cohérentes et sans doublons.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 Cette méthode nous a permis de faire tourner le script rapidement et sans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 consommer trop de ressources. En plus, ça réduit les risques d’erreurs qui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 feraient perdre du temps.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 --------------------------------------------------------------------------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 Vues envisagées pour la suite du projet (Partie 3)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-- 1. vue_moyennes_par_ue 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    - Calculer les moyennes par étudiant et par UE, avec indication si validée ou pas.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-- 2. vue_resultats_semestre 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    - Résumer les résultats par étudiant et semestre : moyenne générale, validation,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      UE à repasser, capitalisation.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-- 3. vue_statistiques_ue 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    - Statistiques globales par UE : moyenne, taux de réussite, écart-type.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-- 4. vue_decision_cpj 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    - Synthèse pour la Commission Préparatoire au Jury (CPJ) avec les décisions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      recommandées, redoublements, UE capitalisées, etc.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 ##########################################################################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