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auto"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color w:val="auto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b/>
          <w:color w:val="auto"/>
          <w:sz w:val="28"/>
          <w:szCs w:val="28"/>
        </w:rPr>
        <w:t>по практической работе №</w:t>
      </w:r>
      <w:r>
        <w:rPr>
          <w:b/>
          <w:color w:val="auto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по дисциплине «Вычислительная математика</w:t>
      </w:r>
      <w:r>
        <w:rPr>
          <w:b/>
          <w:color w:val="auto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auto"/>
          <w:sz w:val="28"/>
          <w:szCs w:val="28"/>
        </w:rPr>
        <w:t xml:space="preserve">Тема: </w:t>
      </w:r>
      <w:bookmarkStart w:id="0" w:name="%D0%BF%D1%80%D0%B0%D0%BA%D1%82%D0%B8%D1%"/>
      <w:bookmarkEnd w:id="0"/>
      <w:r>
        <w:rPr>
          <w:rStyle w:val="BookTitle"/>
          <w:caps w:val="false"/>
          <w:smallCaps w:val="false"/>
          <w:color w:val="auto"/>
          <w:sz w:val="28"/>
          <w:szCs w:val="28"/>
        </w:rPr>
        <w:t>Особенности машинной арифметики, точность вычислений на ЭВМ</w:t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 xml:space="preserve">Студент гр. </w:t>
            </w:r>
            <w:r>
              <w:rPr>
                <w:color w:val="auto"/>
                <w:sz w:val="28"/>
                <w:szCs w:val="28"/>
              </w:rPr>
              <w:t>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Ларин Антон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Сучков А.И.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color w:val="auto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bCs/>
          <w:color w:val="auto"/>
          <w:sz w:val="28"/>
          <w:szCs w:val="28"/>
        </w:rPr>
        <w:t>20</w:t>
      </w:r>
      <w:bookmarkStart w:id="1" w:name="_GoBack"/>
      <w:bookmarkEnd w:id="1"/>
      <w:r>
        <w:rPr>
          <w:b/>
          <w:bCs/>
          <w:caps/>
          <w:color w:val="auto"/>
          <w:sz w:val="28"/>
          <w:szCs w:val="28"/>
          <w:lang w:val="en-US"/>
        </w:rPr>
        <w:t>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Изучение особенностей вычислений с плавающей точкой в ЭВМ. 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РВ фундаменте математического анализа прочно утвердилась система действительных чисел. Однако, как бы она не упрощала анализ, практические вычисления вынуждены обходиться без нее.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точкой. Множество </w:t>
      </w:r>
      <w:bookmarkStart w:id="2" w:name="MJXc-Node-2"/>
      <w:bookmarkStart w:id="3" w:name="MJXc-Node-3"/>
      <w:bookmarkStart w:id="4" w:name="MathJax-Element-1-Frame"/>
      <w:bookmarkStart w:id="5" w:name="MJXc-Node-1"/>
      <w:bookmarkEnd w:id="2"/>
      <w:bookmarkEnd w:id="3"/>
      <w:bookmarkEnd w:id="4"/>
      <w:bookmarkEnd w:id="5"/>
      <w:r>
        <w:rPr>
          <w:b w:val="false"/>
          <w:bCs w:val="false"/>
          <w:color w:val="auto"/>
        </w:rPr>
        <w:t xml:space="preserve">F чисел с плавающей точкой характеризуется четырьмя параметрами: основанием </w:t>
      </w:r>
      <w:bookmarkStart w:id="6" w:name="MathJax-Element-2-Frame"/>
      <w:bookmarkStart w:id="7" w:name="MJXc-Node-4"/>
      <w:bookmarkStart w:id="8" w:name="MJXc-Node-5"/>
      <w:bookmarkStart w:id="9" w:name="MJXc-Node-6"/>
      <w:bookmarkEnd w:id="6"/>
      <w:bookmarkEnd w:id="7"/>
      <w:bookmarkEnd w:id="8"/>
      <w:bookmarkEnd w:id="9"/>
      <w:r>
        <w:rPr>
          <w:b w:val="false"/>
          <w:bCs w:val="false"/>
          <w:i/>
          <w:iCs/>
          <w:color w:val="auto"/>
        </w:rPr>
        <w:t>b,</w:t>
      </w:r>
      <w:r>
        <w:rPr>
          <w:b w:val="false"/>
          <w:bCs w:val="false"/>
          <w:color w:val="auto"/>
        </w:rPr>
        <w:t xml:space="preserve"> точностью </w:t>
      </w:r>
      <w:bookmarkStart w:id="10" w:name="MathJax-Element-3-Frame"/>
      <w:bookmarkStart w:id="11" w:name="MJXc-Node-7"/>
      <w:bookmarkStart w:id="12" w:name="MJXc-Node-8"/>
      <w:bookmarkStart w:id="13" w:name="MJXc-Node-9"/>
      <w:bookmarkEnd w:id="10"/>
      <w:bookmarkEnd w:id="11"/>
      <w:bookmarkEnd w:id="12"/>
      <w:bookmarkEnd w:id="13"/>
      <w:r>
        <w:rPr>
          <w:b w:val="false"/>
          <w:bCs w:val="false"/>
          <w:i/>
          <w:iCs/>
          <w:color w:val="auto"/>
        </w:rPr>
        <w:t>t</w:t>
      </w:r>
      <w:r>
        <w:rPr>
          <w:b w:val="false"/>
          <w:bCs w:val="false"/>
          <w:color w:val="auto"/>
        </w:rPr>
        <w:t xml:space="preserve"> и интервалом показателей </w:t>
      </w:r>
      <w:bookmarkStart w:id="14" w:name="MJXc-Node-10"/>
      <w:bookmarkStart w:id="15" w:name="MJXc-Node-11"/>
      <w:bookmarkStart w:id="16" w:name="MJXc-Node-12"/>
      <w:bookmarkStart w:id="17" w:name="MathJax-Element-4-Frame"/>
      <w:bookmarkEnd w:id="14"/>
      <w:bookmarkEnd w:id="15"/>
      <w:bookmarkEnd w:id="16"/>
      <w:bookmarkEnd w:id="17"/>
      <w:r>
        <w:rPr>
          <w:b w:val="false"/>
          <w:bCs w:val="false"/>
          <w:i w:val="false"/>
          <w:iCs w:val="false"/>
          <w:color w:val="auto"/>
        </w:rPr>
        <w:t>[</w:t>
      </w:r>
      <w:bookmarkStart w:id="18" w:name="MJXc-Node-13"/>
      <w:bookmarkEnd w:id="18"/>
      <w:r>
        <w:rPr>
          <w:b w:val="false"/>
          <w:bCs w:val="false"/>
          <w:i/>
          <w:iCs/>
          <w:color w:val="auto"/>
        </w:rPr>
        <w:t>L</w:t>
      </w:r>
      <w:bookmarkStart w:id="19" w:name="MJXc-Node-14"/>
      <w:bookmarkEnd w:id="19"/>
      <w:r>
        <w:rPr>
          <w:b w:val="false"/>
          <w:bCs w:val="false"/>
          <w:i/>
          <w:iCs/>
          <w:color w:val="auto"/>
        </w:rPr>
        <w:t>,</w:t>
      </w:r>
      <w:bookmarkStart w:id="20" w:name="MJXc-Node-15"/>
      <w:bookmarkEnd w:id="20"/>
      <w:r>
        <w:rPr>
          <w:b w:val="false"/>
          <w:bCs w:val="false"/>
          <w:i/>
          <w:iCs/>
          <w:color w:val="auto"/>
        </w:rPr>
        <w:t>M</w:t>
      </w:r>
      <w:bookmarkStart w:id="21" w:name="MJXc-Node-16"/>
      <w:bookmarkEnd w:id="21"/>
      <w:r>
        <w:rPr>
          <w:b w:val="false"/>
          <w:bCs w:val="false"/>
          <w:i w:val="false"/>
          <w:iCs w:val="false"/>
          <w:color w:val="auto"/>
        </w:rPr>
        <w:t>]</w:t>
      </w:r>
      <w:r>
        <w:rPr>
          <w:b w:val="false"/>
          <w:bCs w:val="false"/>
          <w:color w:val="auto"/>
        </w:rPr>
        <w:t xml:space="preserve">. Каждое число с плавающей точкой, принадлежащее </w:t>
      </w:r>
      <w:bookmarkStart w:id="22" w:name="MJXc-Node-19"/>
      <w:bookmarkStart w:id="23" w:name="MathJax-Element-5-Frame"/>
      <w:bookmarkStart w:id="24" w:name="MJXc-Node-18"/>
      <w:bookmarkStart w:id="25" w:name="MJXc-Node-17"/>
      <w:bookmarkEnd w:id="22"/>
      <w:bookmarkEnd w:id="23"/>
      <w:bookmarkEnd w:id="24"/>
      <w:bookmarkEnd w:id="25"/>
      <w:r>
        <w:rPr>
          <w:b w:val="false"/>
          <w:bCs w:val="false"/>
          <w:i/>
          <w:iCs/>
          <w:color w:val="auto"/>
        </w:rPr>
        <w:t>F</w:t>
      </w:r>
      <w:r>
        <w:rPr>
          <w:b w:val="false"/>
          <w:bCs w:val="false"/>
          <w:color w:val="auto"/>
        </w:rPr>
        <w:t xml:space="preserve">, имеет значение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den>
            </m:f>
          </m:e>
        </m:d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</m:oMath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где целые числа </w:t>
      </w:r>
      <w:bookmarkStart w:id="26" w:name="MathJax-Element-7-Frame"/>
      <w:bookmarkStart w:id="27" w:name="MJXc-Node-57"/>
      <w:bookmarkStart w:id="28" w:name="MJXc-Node-59"/>
      <w:bookmarkStart w:id="29" w:name="MJXc-Node-56"/>
      <w:bookmarkStart w:id="30" w:name="MJXc-Node-58"/>
      <w:bookmarkEnd w:id="26"/>
      <w:bookmarkEnd w:id="27"/>
      <w:bookmarkEnd w:id="28"/>
      <w:bookmarkEnd w:id="29"/>
      <w:bookmarkEnd w:id="30"/>
      <w:r>
        <w:rPr>
          <w:b w:val="false"/>
          <w:bCs w:val="false"/>
          <w:color w:val="auto"/>
        </w:rPr>
        <w:t>d</w:t>
      </w:r>
      <w:bookmarkStart w:id="31" w:name="MJXc-Node-60"/>
      <w:bookmarkEnd w:id="31"/>
      <w:r>
        <w:rPr>
          <w:b w:val="false"/>
          <w:bCs w:val="false"/>
          <w:color w:val="auto"/>
          <w:vertAlign w:val="subscript"/>
        </w:rPr>
        <w:t>1</w:t>
      </w:r>
      <w:bookmarkStart w:id="32" w:name="MJXc-Node-61"/>
      <w:bookmarkEnd w:id="32"/>
      <w:r>
        <w:rPr>
          <w:b w:val="false"/>
          <w:bCs w:val="false"/>
          <w:color w:val="auto"/>
        </w:rPr>
        <w:t>,</w:t>
      </w:r>
      <w:bookmarkStart w:id="33" w:name="MJXc-Node-63"/>
      <w:bookmarkStart w:id="34" w:name="MJXc-Node-62"/>
      <w:bookmarkEnd w:id="33"/>
      <w:bookmarkEnd w:id="34"/>
      <w:r>
        <w:rPr>
          <w:b w:val="false"/>
          <w:bCs w:val="false"/>
          <w:color w:val="auto"/>
        </w:rPr>
        <w:t>d</w:t>
      </w:r>
      <w:bookmarkStart w:id="35" w:name="MJXc-Node-64"/>
      <w:bookmarkEnd w:id="35"/>
      <w:r>
        <w:rPr>
          <w:b w:val="false"/>
          <w:bCs w:val="false"/>
          <w:color w:val="auto"/>
          <w:vertAlign w:val="subscript"/>
        </w:rPr>
        <w:t>2</w:t>
      </w:r>
      <w:bookmarkStart w:id="36" w:name="MJXc-Node-65"/>
      <w:bookmarkEnd w:id="36"/>
      <w:r>
        <w:rPr>
          <w:b w:val="false"/>
          <w:bCs w:val="false"/>
          <w:color w:val="auto"/>
        </w:rPr>
        <w:t>,</w:t>
      </w:r>
      <w:bookmarkStart w:id="37" w:name="MJXc-Node-66"/>
      <w:bookmarkEnd w:id="37"/>
      <w:r>
        <w:rPr>
          <w:b w:val="false"/>
          <w:bCs w:val="false"/>
          <w:color w:val="auto"/>
        </w:rPr>
        <w:t>…</w:t>
      </w:r>
      <w:bookmarkStart w:id="38" w:name="MJXc-Node-67"/>
      <w:bookmarkEnd w:id="38"/>
      <w:r>
        <w:rPr>
          <w:b w:val="false"/>
          <w:bCs w:val="false"/>
          <w:color w:val="auto"/>
        </w:rPr>
        <w:t>,</w:t>
      </w:r>
      <w:bookmarkStart w:id="39" w:name="MJXc-Node-69"/>
      <w:bookmarkStart w:id="40" w:name="MJXc-Node-68"/>
      <w:bookmarkEnd w:id="39"/>
      <w:bookmarkEnd w:id="40"/>
      <w:r>
        <w:rPr>
          <w:b w:val="false"/>
          <w:bCs w:val="false"/>
          <w:color w:val="auto"/>
        </w:rPr>
        <w:t>d</w:t>
      </w:r>
      <w:bookmarkStart w:id="41" w:name="MJXc-Node-70"/>
      <w:bookmarkEnd w:id="41"/>
      <w:r>
        <w:rPr>
          <w:b w:val="false"/>
          <w:bCs w:val="false"/>
          <w:color w:val="auto"/>
          <w:vertAlign w:val="subscript"/>
        </w:rPr>
        <w:t>t</w:t>
      </w:r>
      <w:r>
        <w:rPr>
          <w:b w:val="false"/>
          <w:bCs w:val="false"/>
          <w:color w:val="auto"/>
        </w:rPr>
        <w:t xml:space="preserve"> удовлетворяют неравенствам </w:t>
      </w:r>
      <w:bookmarkStart w:id="42" w:name="MathJax-Element-8-Frame"/>
      <w:bookmarkStart w:id="43" w:name="MJXc-Node-71"/>
      <w:bookmarkStart w:id="44" w:name="MJXc-Node-73"/>
      <w:bookmarkStart w:id="45" w:name="MJXc-Node-72"/>
      <w:bookmarkEnd w:id="42"/>
      <w:bookmarkEnd w:id="43"/>
      <w:bookmarkEnd w:id="44"/>
      <w:bookmarkEnd w:id="45"/>
      <w:r>
        <w:rPr>
          <w:b w:val="false"/>
          <w:bCs w:val="false"/>
          <w:color w:val="auto"/>
        </w:rPr>
        <w:t>0</w:t>
      </w:r>
      <w:bookmarkStart w:id="46" w:name="MJXc-Node-74"/>
      <w:bookmarkEnd w:id="46"/>
      <w:r>
        <w:rPr>
          <w:b w:val="false"/>
          <w:bCs w:val="false"/>
          <w:color w:val="auto"/>
        </w:rPr>
        <w:t>⩽</w:t>
      </w:r>
      <w:bookmarkStart w:id="47" w:name="MJXc-Node-75"/>
      <w:bookmarkStart w:id="48" w:name="MJXc-Node-76"/>
      <w:bookmarkEnd w:id="47"/>
      <w:bookmarkEnd w:id="48"/>
      <w:r>
        <w:rPr>
          <w:b w:val="false"/>
          <w:bCs w:val="false"/>
          <w:color w:val="auto"/>
        </w:rPr>
        <w:t>d</w:t>
      </w:r>
      <w:bookmarkStart w:id="49" w:name="MJXc-Node-77"/>
      <w:bookmarkEnd w:id="49"/>
      <w:r>
        <w:rPr>
          <w:b w:val="false"/>
          <w:bCs w:val="false"/>
          <w:color w:val="auto"/>
          <w:vertAlign w:val="subscript"/>
        </w:rPr>
        <w:t>j</w:t>
      </w:r>
      <w:bookmarkStart w:id="50" w:name="MJXc-Node-78"/>
      <w:bookmarkEnd w:id="50"/>
      <w:r>
        <w:rPr>
          <w:b w:val="false"/>
          <w:bCs w:val="false"/>
          <w:color w:val="auto"/>
        </w:rPr>
        <w:t>&lt;</w:t>
      </w:r>
      <w:bookmarkStart w:id="51" w:name="MJXc-Node-79"/>
      <w:bookmarkEnd w:id="51"/>
      <w:r>
        <w:rPr>
          <w:b w:val="false"/>
          <w:bCs w:val="false"/>
          <w:color w:val="auto"/>
        </w:rPr>
        <w:t>b (</w:t>
      </w:r>
      <w:bookmarkStart w:id="52" w:name="MJXc-Node-81"/>
      <w:bookmarkStart w:id="53" w:name="MJXc-Node-82"/>
      <w:bookmarkStart w:id="54" w:name="MJXc-Node-80"/>
      <w:bookmarkStart w:id="55" w:name="MathJax-Element-9-Frame"/>
      <w:bookmarkEnd w:id="52"/>
      <w:bookmarkEnd w:id="53"/>
      <w:bookmarkEnd w:id="54"/>
      <w:bookmarkEnd w:id="55"/>
      <w:r>
        <w:rPr>
          <w:b w:val="false"/>
          <w:bCs w:val="false"/>
          <w:color w:val="auto"/>
        </w:rPr>
        <w:t>j</w:t>
      </w:r>
      <w:bookmarkStart w:id="56" w:name="MJXc-Node-83"/>
      <w:bookmarkEnd w:id="56"/>
      <w:r>
        <w:rPr>
          <w:b w:val="false"/>
          <w:bCs w:val="false"/>
          <w:color w:val="auto"/>
        </w:rPr>
        <w:t>=</w:t>
      </w:r>
      <w:bookmarkStart w:id="57" w:name="MJXc-Node-86"/>
      <w:bookmarkStart w:id="58" w:name="MJXc-Node-85"/>
      <w:bookmarkEnd w:id="57"/>
      <w:bookmarkEnd w:id="58"/>
      <w:r>
        <w:rPr>
          <w:b w:val="false"/>
          <w:bCs w:val="false"/>
          <w:color w:val="auto"/>
        </w:rPr>
        <w:t>1</w:t>
      </w:r>
      <w:bookmarkStart w:id="59" w:name="MJXc-Node-88"/>
      <w:bookmarkEnd w:id="59"/>
      <w:r>
        <w:rPr>
          <w:b w:val="false"/>
          <w:bCs w:val="false"/>
          <w:color w:val="auto"/>
        </w:rPr>
        <w:t xml:space="preserve">..t) и </w:t>
      </w:r>
      <w:bookmarkStart w:id="60" w:name="MJXc-Node-92"/>
      <w:bookmarkStart w:id="61" w:name="MJXc-Node-90"/>
      <w:bookmarkStart w:id="62" w:name="MathJax-Element-10-Frame"/>
      <w:bookmarkStart w:id="63" w:name="MJXc-Node-91"/>
      <w:bookmarkEnd w:id="60"/>
      <w:bookmarkEnd w:id="61"/>
      <w:bookmarkEnd w:id="62"/>
      <w:bookmarkEnd w:id="63"/>
      <w:r>
        <w:rPr>
          <w:b w:val="false"/>
          <w:bCs w:val="false"/>
          <w:color w:val="auto"/>
        </w:rPr>
        <w:t>L</w:t>
      </w:r>
      <w:bookmarkStart w:id="64" w:name="MJXc-Node-93"/>
      <w:bookmarkEnd w:id="64"/>
      <w:r>
        <w:rPr>
          <w:b w:val="false"/>
          <w:bCs w:val="false"/>
          <w:color w:val="auto"/>
        </w:rPr>
        <w:t>⩽</w:t>
      </w:r>
      <w:bookmarkStart w:id="65" w:name="MJXc-Node-94"/>
      <w:bookmarkEnd w:id="65"/>
      <w:r>
        <w:rPr>
          <w:b w:val="false"/>
          <w:bCs w:val="false"/>
          <w:color w:val="auto"/>
        </w:rPr>
        <w:t>n</w:t>
      </w:r>
      <w:bookmarkStart w:id="66" w:name="MJXc-Node-95"/>
      <w:bookmarkEnd w:id="66"/>
      <w:r>
        <w:rPr>
          <w:b w:val="false"/>
          <w:bCs w:val="false"/>
          <w:color w:val="auto"/>
        </w:rPr>
        <w:t>⩽</w:t>
      </w:r>
      <w:bookmarkStart w:id="67" w:name="MJXc-Node-96"/>
      <w:bookmarkEnd w:id="67"/>
      <w:r>
        <w:rPr>
          <w:b w:val="false"/>
          <w:bCs w:val="false"/>
          <w:color w:val="auto"/>
        </w:rPr>
        <w:t xml:space="preserve">M. Если для каждого ненулевого </w:t>
      </w:r>
      <w:bookmarkStart w:id="68" w:name="MJXc-Node-97"/>
      <w:bookmarkStart w:id="69" w:name="MathJax-Element-11-Frame"/>
      <w:bookmarkStart w:id="70" w:name="MJXc-Node-99"/>
      <w:bookmarkStart w:id="71" w:name="MJXc-Node-98"/>
      <w:bookmarkEnd w:id="68"/>
      <w:bookmarkEnd w:id="69"/>
      <w:bookmarkEnd w:id="70"/>
      <w:bookmarkEnd w:id="71"/>
      <w:r>
        <w:rPr>
          <w:b w:val="false"/>
          <w:bCs w:val="false"/>
          <w:color w:val="auto"/>
        </w:rPr>
        <w:t xml:space="preserve">x из </w:t>
      </w:r>
      <w:bookmarkStart w:id="72" w:name="MJXc-Node-101"/>
      <w:bookmarkStart w:id="73" w:name="MJXc-Node-102"/>
      <w:bookmarkStart w:id="74" w:name="MJXc-Node-100"/>
      <w:bookmarkStart w:id="75" w:name="MathJax-Element-12-Frame"/>
      <w:bookmarkEnd w:id="72"/>
      <w:bookmarkEnd w:id="73"/>
      <w:bookmarkEnd w:id="74"/>
      <w:bookmarkEnd w:id="75"/>
      <w:r>
        <w:rPr>
          <w:b w:val="false"/>
          <w:bCs w:val="false"/>
          <w:color w:val="auto"/>
        </w:rPr>
        <w:t xml:space="preserve">F справедливо </w:t>
      </w:r>
      <w:bookmarkStart w:id="76" w:name="MJXc-Node-104"/>
      <w:bookmarkStart w:id="77" w:name="MJXc-Node-105"/>
      <w:bookmarkStart w:id="78" w:name="MJXc-Node-106"/>
      <w:bookmarkStart w:id="79" w:name="MJXc-Node-103"/>
      <w:bookmarkStart w:id="80" w:name="MathJax-Element-13-Frame"/>
      <w:bookmarkEnd w:id="76"/>
      <w:bookmarkEnd w:id="77"/>
      <w:bookmarkEnd w:id="78"/>
      <w:bookmarkEnd w:id="79"/>
      <w:bookmarkEnd w:id="80"/>
      <w:r>
        <w:rPr>
          <w:b w:val="false"/>
          <w:bCs w:val="false"/>
          <w:color w:val="auto"/>
        </w:rPr>
        <w:t>d</w:t>
      </w:r>
      <w:bookmarkStart w:id="81" w:name="MJXc-Node-107"/>
      <w:bookmarkEnd w:id="81"/>
      <w:r>
        <w:rPr>
          <w:b w:val="false"/>
          <w:bCs w:val="false"/>
          <w:color w:val="auto"/>
          <w:vertAlign w:val="subscript"/>
        </w:rPr>
        <w:t>1</w:t>
      </w:r>
      <w:bookmarkStart w:id="82" w:name="MJXc-Node-108"/>
      <w:bookmarkEnd w:id="82"/>
      <w:r>
        <w:rPr>
          <w:b w:val="false"/>
          <w:bCs w:val="false"/>
          <w:color w:val="auto"/>
        </w:rPr>
        <w:t>≠</w:t>
      </w:r>
      <w:bookmarkStart w:id="83" w:name="MJXc-Node-109"/>
      <w:bookmarkEnd w:id="83"/>
      <w:r>
        <w:rPr>
          <w:b w:val="false"/>
          <w:bCs w:val="false"/>
          <w:color w:val="auto"/>
        </w:rPr>
        <w:t xml:space="preserve">0, то система </w:t>
      </w:r>
      <w:bookmarkStart w:id="84" w:name="MathJax-Element-14-Frame"/>
      <w:bookmarkStart w:id="85" w:name="MJXc-Node-110"/>
      <w:bookmarkStart w:id="86" w:name="MJXc-Node-111"/>
      <w:bookmarkStart w:id="87" w:name="MJXc-Node-112"/>
      <w:bookmarkEnd w:id="84"/>
      <w:bookmarkEnd w:id="85"/>
      <w:bookmarkEnd w:id="86"/>
      <w:bookmarkEnd w:id="87"/>
      <w:r>
        <w:rPr>
          <w:b w:val="false"/>
          <w:bCs w:val="false"/>
          <w:color w:val="auto"/>
        </w:rPr>
        <w:t xml:space="preserve">F называется нормализованной. Целое число </w:t>
      </w:r>
      <w:bookmarkStart w:id="88" w:name="MJXc-Node-113"/>
      <w:bookmarkStart w:id="89" w:name="MJXc-Node-115"/>
      <w:bookmarkStart w:id="90" w:name="MJXc-Node-114"/>
      <w:bookmarkStart w:id="91" w:name="MathJax-Element-15-Frame"/>
      <w:bookmarkEnd w:id="88"/>
      <w:bookmarkEnd w:id="89"/>
      <w:bookmarkEnd w:id="90"/>
      <w:bookmarkEnd w:id="91"/>
      <w:r>
        <w:rPr>
          <w:b w:val="false"/>
          <w:bCs w:val="false"/>
          <w:color w:val="auto"/>
        </w:rPr>
        <w:t>n называется показателем, а число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p>
          </m:den>
        </m:f>
      </m:oMath>
      <w:r>
        <w:rPr>
          <w:b w:val="false"/>
          <w:bCs w:val="false"/>
          <w:color w:val="auto"/>
        </w:rPr>
        <w:t xml:space="preserve">– </w:t>
      </w:r>
      <w:r>
        <w:rPr>
          <w:b w:val="false"/>
          <w:bCs w:val="false"/>
          <w:color w:val="auto"/>
        </w:rPr>
        <w:t xml:space="preserve">дробной частью. Обычно целое число </w:t>
      </w:r>
      <w:bookmarkStart w:id="92" w:name="MJXc-Node-140"/>
      <w:bookmarkStart w:id="93" w:name="MJXc-Node-139"/>
      <w:bookmarkStart w:id="94" w:name="MJXc-Node-138"/>
      <w:bookmarkStart w:id="95" w:name="MathJax-Element-17-Frame"/>
      <w:bookmarkStart w:id="96" w:name="MJXc-Node-137"/>
      <w:bookmarkEnd w:id="92"/>
      <w:bookmarkEnd w:id="93"/>
      <w:bookmarkEnd w:id="94"/>
      <w:bookmarkEnd w:id="95"/>
      <w:bookmarkEnd w:id="96"/>
      <w:r>
        <w:rPr>
          <w:b w:val="false"/>
          <w:bCs w:val="false"/>
          <w:color w:val="auto"/>
        </w:rPr>
        <w:t>b</w:t>
      </w:r>
      <w:bookmarkStart w:id="97" w:name="MJXc-Node-141"/>
      <w:bookmarkEnd w:id="97"/>
      <w:r>
        <w:rPr>
          <w:b w:val="false"/>
          <w:bCs w:val="false"/>
          <w:color w:val="auto"/>
          <w:vertAlign w:val="superscript"/>
        </w:rPr>
        <w:t>n</w:t>
      </w:r>
      <w:r>
        <w:rPr>
          <w:b w:val="false"/>
          <w:bCs w:val="false"/>
          <w:color w:val="auto"/>
        </w:rPr>
        <w:t xml:space="preserve"> хранится по той или иной схеме представления, принятой для целых чисел, например, величины со знаком, дополнения до единицы или дополнения до двух. Если принять </w:t>
      </w:r>
      <w:bookmarkStart w:id="98" w:name="MJXc-Node-143"/>
      <w:bookmarkStart w:id="99" w:name="MJXc-Node-144"/>
      <w:bookmarkStart w:id="100" w:name="MathJax-Element-18-Frame"/>
      <w:bookmarkStart w:id="101" w:name="MJXc-Node-142"/>
      <w:bookmarkEnd w:id="98"/>
      <w:bookmarkEnd w:id="99"/>
      <w:bookmarkEnd w:id="100"/>
      <w:bookmarkEnd w:id="101"/>
      <w:r>
        <w:rPr>
          <w:b w:val="false"/>
          <w:bCs w:val="false"/>
          <w:color w:val="auto"/>
        </w:rPr>
        <w:t>−</w:t>
      </w:r>
      <w:bookmarkStart w:id="102" w:name="MJXc-Node-145"/>
      <w:bookmarkEnd w:id="102"/>
      <w:r>
        <w:rPr>
          <w:b w:val="false"/>
          <w:bCs w:val="false"/>
          <w:color w:val="auto"/>
        </w:rPr>
        <w:t>N</w:t>
      </w:r>
      <w:bookmarkStart w:id="103" w:name="MJXc-Node-146"/>
      <w:bookmarkEnd w:id="103"/>
      <w:r>
        <w:rPr>
          <w:b w:val="false"/>
          <w:bCs w:val="false"/>
          <w:color w:val="auto"/>
        </w:rPr>
        <w:t>⩽</w:t>
      </w:r>
      <w:bookmarkStart w:id="104" w:name="MJXc-Node-147"/>
      <w:bookmarkEnd w:id="104"/>
      <w:r>
        <w:rPr>
          <w:b w:val="false"/>
          <w:bCs w:val="false"/>
          <w:color w:val="auto"/>
        </w:rPr>
        <w:t>n</w:t>
      </w:r>
      <w:bookmarkStart w:id="105" w:name="MJXc-Node-148"/>
      <w:bookmarkEnd w:id="105"/>
      <w:r>
        <w:rPr>
          <w:b w:val="false"/>
          <w:bCs w:val="false"/>
          <w:color w:val="auto"/>
        </w:rPr>
        <w:t>&lt;</w:t>
      </w:r>
      <w:bookmarkStart w:id="106" w:name="MJXc-Node-149"/>
      <w:bookmarkEnd w:id="106"/>
      <w:r>
        <w:rPr>
          <w:b w:val="false"/>
          <w:bCs w:val="false"/>
          <w:color w:val="auto"/>
        </w:rPr>
        <w:t xml:space="preserve">N, где </w:t>
      </w:r>
      <w:bookmarkStart w:id="107" w:name="MJXc-Node-151"/>
      <w:bookmarkStart w:id="108" w:name="MJXc-Node-152"/>
      <w:bookmarkStart w:id="109" w:name="MJXc-Node-150"/>
      <w:bookmarkStart w:id="110" w:name="MathJax-Element-19-Frame"/>
      <w:bookmarkEnd w:id="107"/>
      <w:bookmarkEnd w:id="108"/>
      <w:bookmarkEnd w:id="109"/>
      <w:bookmarkEnd w:id="110"/>
      <w:r>
        <w:rPr>
          <w:b w:val="false"/>
          <w:bCs w:val="false"/>
          <w:color w:val="auto"/>
        </w:rPr>
        <w:t>N</w:t>
      </w:r>
      <w:bookmarkStart w:id="111" w:name="MJXc-Node-153"/>
      <w:bookmarkEnd w:id="111"/>
      <w:r>
        <w:rPr>
          <w:b w:val="false"/>
          <w:bCs w:val="false"/>
          <w:color w:val="auto"/>
        </w:rPr>
        <w:t>=</w:t>
      </w:r>
      <w:bookmarkStart w:id="112" w:name="MJXc-Node-155"/>
      <w:bookmarkStart w:id="113" w:name="MJXc-Node-154"/>
      <w:bookmarkEnd w:id="112"/>
      <w:bookmarkEnd w:id="113"/>
      <w:r>
        <w:rPr>
          <w:b w:val="false"/>
          <w:bCs w:val="false"/>
          <w:color w:val="auto"/>
        </w:rPr>
        <w:t>2</w:t>
      </w:r>
      <w:bookmarkStart w:id="114" w:name="MJXc-Node-156"/>
      <w:bookmarkStart w:id="115" w:name="MJXc-Node-157"/>
      <w:bookmarkStart w:id="116" w:name="MJXc-Node-158"/>
      <w:bookmarkEnd w:id="114"/>
      <w:bookmarkEnd w:id="115"/>
      <w:bookmarkEnd w:id="116"/>
      <w:r>
        <w:rPr>
          <w:b w:val="false"/>
          <w:bCs w:val="false"/>
          <w:color w:val="auto"/>
          <w:vertAlign w:val="superscript"/>
        </w:rPr>
        <w:t>m</w:t>
      </w:r>
      <w:bookmarkStart w:id="117" w:name="MJXc-Node-159"/>
      <w:bookmarkEnd w:id="117"/>
      <w:r>
        <w:rPr>
          <w:b w:val="false"/>
          <w:bCs w:val="false"/>
          <w:color w:val="auto"/>
          <w:vertAlign w:val="superscript"/>
        </w:rPr>
        <w:t>−</w:t>
      </w:r>
      <w:bookmarkStart w:id="118" w:name="MJXc-Node-160"/>
      <w:bookmarkEnd w:id="118"/>
      <w:r>
        <w:rPr>
          <w:b w:val="false"/>
          <w:bCs w:val="false"/>
          <w:color w:val="auto"/>
          <w:vertAlign w:val="superscript"/>
        </w:rPr>
        <w:t>1</w:t>
      </w:r>
      <w:r>
        <w:rPr>
          <w:b w:val="false"/>
          <w:bCs w:val="false"/>
          <w:color w:val="auto"/>
        </w:rPr>
        <w:t xml:space="preserve"> то переходим к общепринятой терминологии, при которой </w:t>
      </w:r>
      <w:bookmarkStart w:id="119" w:name="MathJax-Element-20-Frame"/>
      <w:bookmarkStart w:id="120" w:name="MJXc-Node-163"/>
      <w:bookmarkStart w:id="121" w:name="MJXc-Node-162"/>
      <w:bookmarkStart w:id="122" w:name="MJXc-Node-161"/>
      <w:bookmarkEnd w:id="119"/>
      <w:bookmarkEnd w:id="120"/>
      <w:bookmarkEnd w:id="121"/>
      <w:bookmarkEnd w:id="122"/>
      <w:r>
        <w:rPr>
          <w:b w:val="false"/>
          <w:bCs w:val="false"/>
          <w:color w:val="auto"/>
        </w:rPr>
        <w:t xml:space="preserve">t – разрядность мантиссы, </w:t>
      </w:r>
      <w:bookmarkStart w:id="123" w:name="MathJax-Element-21-Frame"/>
      <w:bookmarkStart w:id="124" w:name="MJXc-Node-164"/>
      <w:bookmarkStart w:id="125" w:name="MJXc-Node-165"/>
      <w:bookmarkStart w:id="126" w:name="MJXc-Node-166"/>
      <w:bookmarkEnd w:id="123"/>
      <w:bookmarkEnd w:id="124"/>
      <w:bookmarkEnd w:id="125"/>
      <w:bookmarkEnd w:id="126"/>
      <w:r>
        <w:rPr>
          <w:b w:val="false"/>
          <w:bCs w:val="false"/>
          <w:color w:val="auto"/>
        </w:rPr>
        <w:t xml:space="preserve">m – разрядность порядка.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Величина </w:t>
      </w:r>
      <w:bookmarkStart w:id="127" w:name="MJXc-Node-168"/>
      <w:bookmarkStart w:id="128" w:name="MathJax-Element-22-Frame"/>
      <w:bookmarkStart w:id="129" w:name="MJXc-Node-167"/>
      <w:bookmarkStart w:id="130" w:name="MJXc-Node-169"/>
      <w:bookmarkStart w:id="131" w:name="MJXc-Node-170"/>
      <w:bookmarkEnd w:id="127"/>
      <w:bookmarkEnd w:id="128"/>
      <w:bookmarkEnd w:id="129"/>
      <w:bookmarkEnd w:id="130"/>
      <w:bookmarkEnd w:id="131"/>
      <w:r>
        <w:rPr>
          <w:b w:val="false"/>
          <w:bCs w:val="false"/>
          <w:color w:val="auto"/>
        </w:rPr>
        <w:t>b</w:t>
      </w:r>
      <w:bookmarkStart w:id="132" w:name="MJXc-Node-171"/>
      <w:bookmarkStart w:id="133" w:name="MJXc-Node-172"/>
      <w:bookmarkStart w:id="134" w:name="MJXc-Node-173"/>
      <w:bookmarkEnd w:id="132"/>
      <w:bookmarkEnd w:id="133"/>
      <w:bookmarkEnd w:id="134"/>
      <w:r>
        <w:rPr>
          <w:b w:val="false"/>
          <w:bCs w:val="false"/>
          <w:color w:val="auto"/>
          <w:vertAlign w:val="superscript"/>
        </w:rPr>
        <w:t>1</w:t>
      </w:r>
      <w:bookmarkStart w:id="135" w:name="MJXc-Node-174"/>
      <w:bookmarkEnd w:id="135"/>
      <w:r>
        <w:rPr>
          <w:b w:val="false"/>
          <w:bCs w:val="false"/>
          <w:color w:val="auto"/>
          <w:vertAlign w:val="superscript"/>
        </w:rPr>
        <w:t>−</w:t>
      </w:r>
      <w:bookmarkStart w:id="136" w:name="MJXc-Node-175"/>
      <w:bookmarkEnd w:id="136"/>
      <w:r>
        <w:rPr>
          <w:b w:val="false"/>
          <w:bCs w:val="false"/>
          <w:color w:val="auto"/>
          <w:vertAlign w:val="superscript"/>
        </w:rPr>
        <w:t xml:space="preserve">t </w:t>
      </w:r>
      <w:r>
        <w:rPr>
          <w:b w:val="false"/>
          <w:bCs w:val="false"/>
          <w:color w:val="auto"/>
        </w:rPr>
        <w:t xml:space="preserve">является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</w:t>
      </w:r>
      <w:bookmarkStart w:id="137" w:name="MJXc-Node-178"/>
      <w:bookmarkStart w:id="138" w:name="MJXc-Node-177"/>
      <w:bookmarkStart w:id="139" w:name="MathJax-Element-23-Frame"/>
      <w:bookmarkStart w:id="140" w:name="MJXc-Node-176"/>
      <w:bookmarkEnd w:id="137"/>
      <w:bookmarkEnd w:id="138"/>
      <w:bookmarkEnd w:id="139"/>
      <w:bookmarkEnd w:id="140"/>
      <w:r>
        <w:rPr>
          <w:b w:val="false"/>
          <w:bCs w:val="false"/>
          <w:color w:val="auto"/>
        </w:rPr>
        <w:t xml:space="preserve">ε, такого, что </w:t>
      </w:r>
      <w:bookmarkStart w:id="141" w:name="MathJax-Element-24-Frame"/>
      <w:bookmarkStart w:id="142" w:name="MJXc-Node-181"/>
      <w:bookmarkStart w:id="143" w:name="MJXc-Node-179"/>
      <w:bookmarkStart w:id="144" w:name="MJXc-Node-180"/>
      <w:bookmarkEnd w:id="141"/>
      <w:bookmarkEnd w:id="142"/>
      <w:bookmarkEnd w:id="143"/>
      <w:bookmarkEnd w:id="144"/>
      <w:r>
        <w:rPr>
          <w:b w:val="false"/>
          <w:bCs w:val="false"/>
          <w:color w:val="auto"/>
        </w:rPr>
        <w:t>1</w:t>
      </w:r>
      <w:bookmarkStart w:id="145" w:name="MJXc-Node-182"/>
      <w:bookmarkEnd w:id="145"/>
      <w:r>
        <w:rPr>
          <w:b w:val="false"/>
          <w:bCs w:val="false"/>
          <w:color w:val="auto"/>
        </w:rPr>
        <w:t>+</w:t>
      </w:r>
      <w:bookmarkStart w:id="146" w:name="MJXc-Node-183"/>
      <w:bookmarkEnd w:id="146"/>
      <w:r>
        <w:rPr>
          <w:b w:val="false"/>
          <w:bCs w:val="false"/>
          <w:color w:val="auto"/>
        </w:rPr>
        <w:t>ε</w:t>
      </w:r>
      <w:bookmarkStart w:id="147" w:name="MJXc-Node-184"/>
      <w:bookmarkEnd w:id="147"/>
      <w:r>
        <w:rPr>
          <w:b w:val="false"/>
          <w:bCs w:val="false"/>
          <w:color w:val="auto"/>
        </w:rPr>
        <w:t>&gt;</w:t>
      </w:r>
      <w:bookmarkStart w:id="148" w:name="MJXc-Node-185"/>
      <w:bookmarkEnd w:id="148"/>
      <w:r>
        <w:rPr>
          <w:b w:val="false"/>
          <w:bCs w:val="false"/>
          <w:color w:val="auto"/>
        </w:rPr>
        <w:t xml:space="preserve">1. Точное значение машинного эпсилон зависит не только то указанных выше параметров, но и от принятого способа округления.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Рассматриваемое множество </w:t>
      </w:r>
      <w:bookmarkStart w:id="149" w:name="MathJax-Element-25-Frame"/>
      <w:bookmarkStart w:id="150" w:name="MJXc-Node-188"/>
      <w:bookmarkStart w:id="151" w:name="MJXc-Node-186"/>
      <w:bookmarkStart w:id="152" w:name="MJXc-Node-187"/>
      <w:bookmarkEnd w:id="149"/>
      <w:bookmarkEnd w:id="150"/>
      <w:bookmarkEnd w:id="151"/>
      <w:bookmarkEnd w:id="152"/>
      <w:r>
        <w:rPr>
          <w:b w:val="false"/>
          <w:bCs w:val="false"/>
          <w:color w:val="auto"/>
        </w:rPr>
        <w:t xml:space="preserve">F не является континуумом или даже бесконечным множеством. Оно содержит ровно </w:t>
      </w:r>
      <w:bookmarkStart w:id="153" w:name="MathJax-Element-26-Frame"/>
      <w:bookmarkStart w:id="154" w:name="MJXc-Node-190"/>
      <w:bookmarkStart w:id="155" w:name="MJXc-Node-189"/>
      <w:bookmarkStart w:id="156" w:name="MJXc-Node-191"/>
      <w:bookmarkEnd w:id="153"/>
      <w:bookmarkEnd w:id="154"/>
      <w:bookmarkEnd w:id="155"/>
      <w:bookmarkEnd w:id="156"/>
      <w:r>
        <w:rPr>
          <w:b w:val="false"/>
          <w:bCs w:val="false"/>
          <w:color w:val="auto"/>
        </w:rPr>
        <w:t>2</w:t>
      </w:r>
      <w:bookmarkStart w:id="157" w:name="MJXc-Node-192"/>
      <w:bookmarkEnd w:id="157"/>
      <w:r>
        <w:rPr>
          <w:b w:val="false"/>
          <w:bCs w:val="false"/>
          <w:color w:val="auto"/>
        </w:rPr>
        <w:t>(</w:t>
      </w:r>
      <w:bookmarkStart w:id="158" w:name="MJXc-Node-193"/>
      <w:bookmarkEnd w:id="158"/>
      <w:r>
        <w:rPr>
          <w:b w:val="false"/>
          <w:bCs w:val="false"/>
          <w:color w:val="auto"/>
        </w:rPr>
        <w:t>b</w:t>
      </w:r>
      <w:bookmarkStart w:id="159" w:name="MJXc-Node-194"/>
      <w:bookmarkEnd w:id="159"/>
      <w:r>
        <w:rPr>
          <w:b w:val="false"/>
          <w:bCs w:val="false"/>
          <w:color w:val="auto"/>
        </w:rPr>
        <w:t>−</w:t>
      </w:r>
      <w:bookmarkStart w:id="160" w:name="MJXc-Node-195"/>
      <w:bookmarkEnd w:id="160"/>
      <w:r>
        <w:rPr>
          <w:b w:val="false"/>
          <w:bCs w:val="false"/>
          <w:color w:val="auto"/>
        </w:rPr>
        <w:t>1</w:t>
      </w:r>
      <w:bookmarkStart w:id="161" w:name="MJXc-Node-196"/>
      <w:bookmarkEnd w:id="161"/>
      <w:r>
        <w:rPr>
          <w:b w:val="false"/>
          <w:bCs w:val="false"/>
          <w:color w:val="auto"/>
        </w:rPr>
        <w:t>)</w:t>
      </w:r>
      <w:bookmarkStart w:id="162" w:name="MJXc-Node-197"/>
      <w:bookmarkStart w:id="163" w:name="MJXc-Node-198"/>
      <w:bookmarkEnd w:id="162"/>
      <w:bookmarkEnd w:id="163"/>
      <w:r>
        <w:rPr>
          <w:b w:val="false"/>
          <w:bCs w:val="false"/>
          <w:color w:val="auto"/>
        </w:rPr>
        <w:t>b</w:t>
      </w:r>
      <w:bookmarkStart w:id="164" w:name="MJXc-Node-199"/>
      <w:bookmarkEnd w:id="164"/>
      <w:r>
        <w:rPr>
          <w:b w:val="false"/>
          <w:bCs w:val="false"/>
          <w:color w:val="auto"/>
          <w:vertAlign w:val="superscript"/>
        </w:rPr>
        <w:t>t</w:t>
      </w:r>
      <w:bookmarkStart w:id="165" w:name="MJXc-Node-200"/>
      <w:bookmarkEnd w:id="165"/>
      <w:r>
        <w:rPr>
          <w:b w:val="false"/>
          <w:bCs w:val="false"/>
          <w:color w:val="auto"/>
        </w:rPr>
        <w:t>(</w:t>
      </w:r>
      <w:bookmarkStart w:id="166" w:name="MJXc-Node-201"/>
      <w:bookmarkEnd w:id="166"/>
      <w:r>
        <w:rPr>
          <w:b w:val="false"/>
          <w:bCs w:val="false"/>
          <w:color w:val="auto"/>
        </w:rPr>
        <w:t>M</w:t>
      </w:r>
      <w:bookmarkStart w:id="167" w:name="MJXc-Node-202"/>
      <w:bookmarkEnd w:id="167"/>
      <w:r>
        <w:rPr>
          <w:b w:val="false"/>
          <w:bCs w:val="false"/>
          <w:color w:val="auto"/>
        </w:rPr>
        <w:t>−</w:t>
      </w:r>
      <w:bookmarkStart w:id="168" w:name="MJXc-Node-203"/>
      <w:bookmarkEnd w:id="168"/>
      <w:r>
        <w:rPr>
          <w:b w:val="false"/>
          <w:bCs w:val="false"/>
          <w:color w:val="auto"/>
        </w:rPr>
        <w:t>L</w:t>
      </w:r>
      <w:bookmarkStart w:id="169" w:name="MJXc-Node-204"/>
      <w:bookmarkEnd w:id="169"/>
      <w:r>
        <w:rPr>
          <w:b w:val="false"/>
          <w:bCs w:val="false"/>
          <w:color w:val="auto"/>
        </w:rPr>
        <w:t>+</w:t>
      </w:r>
      <w:bookmarkStart w:id="170" w:name="MJXc-Node-205"/>
      <w:bookmarkEnd w:id="170"/>
      <w:r>
        <w:rPr>
          <w:b w:val="false"/>
          <w:bCs w:val="false"/>
          <w:color w:val="auto"/>
        </w:rPr>
        <w:t>1</w:t>
      </w:r>
      <w:bookmarkStart w:id="171" w:name="MJXc-Node-206"/>
      <w:bookmarkEnd w:id="171"/>
      <w:r>
        <w:rPr>
          <w:b w:val="false"/>
          <w:bCs w:val="false"/>
          <w:color w:val="auto"/>
        </w:rPr>
        <w:t>)</w:t>
      </w:r>
      <w:bookmarkStart w:id="172" w:name="MJXc-Node-207"/>
      <w:bookmarkEnd w:id="172"/>
      <w:r>
        <w:rPr>
          <w:b w:val="false"/>
          <w:bCs w:val="false"/>
          <w:color w:val="auto"/>
        </w:rPr>
        <w:t>+</w:t>
      </w:r>
      <w:bookmarkStart w:id="173" w:name="MJXc-Node-208"/>
      <w:bookmarkEnd w:id="173"/>
      <w:r>
        <w:rPr>
          <w:b w:val="false"/>
          <w:bCs w:val="false"/>
          <w:color w:val="auto"/>
        </w:rPr>
        <w:t xml:space="preserve">1 чисел, которые расположены неравномерно (равномерность расположения имеет место лишь при фиксированном показателе). В силу того, что </w:t>
      </w:r>
      <w:bookmarkStart w:id="174" w:name="MJXc-Node-211"/>
      <w:bookmarkStart w:id="175" w:name="MJXc-Node-210"/>
      <w:bookmarkStart w:id="176" w:name="MathJax-Element-27-Frame"/>
      <w:bookmarkStart w:id="177" w:name="MJXc-Node-209"/>
      <w:bookmarkEnd w:id="174"/>
      <w:bookmarkEnd w:id="175"/>
      <w:bookmarkEnd w:id="176"/>
      <w:bookmarkEnd w:id="177"/>
      <w:r>
        <w:rPr>
          <w:b w:val="false"/>
          <w:bCs w:val="false"/>
          <w:color w:val="auto"/>
        </w:rPr>
        <w:t xml:space="preserve">F – конечное множество, не представляется возможным сколь-нибудь детально отобразить континуум действительных чисел. Например, действительные числа модулей, большим максимального элемента из </w:t>
      </w:r>
      <w:bookmarkStart w:id="178" w:name="MJXc-Node-212"/>
      <w:bookmarkStart w:id="179" w:name="MJXc-Node-214"/>
      <w:bookmarkStart w:id="180" w:name="MJXc-Node-213"/>
      <w:bookmarkStart w:id="181" w:name="MathJax-Element-28-Frame"/>
      <w:bookmarkEnd w:id="178"/>
      <w:bookmarkEnd w:id="179"/>
      <w:bookmarkEnd w:id="180"/>
      <w:bookmarkEnd w:id="181"/>
      <w:r>
        <w:rPr>
          <w:b w:val="false"/>
          <w:bCs w:val="false"/>
          <w:color w:val="auto"/>
        </w:rPr>
        <w:t xml:space="preserve">F, вообще не могут быть отображены, причем последнее справедливо также в отношении ненулевых действительных чисел, меньших по абсолютной величине по сравнению с наименьшим положительным числом из </w:t>
      </w:r>
      <w:bookmarkStart w:id="182" w:name="MJXc-Node-215"/>
      <w:bookmarkStart w:id="183" w:name="MJXc-Node-216"/>
      <w:bookmarkStart w:id="184" w:name="MJXc-Node-217"/>
      <w:bookmarkStart w:id="185" w:name="MathJax-Element-29-Frame"/>
      <w:bookmarkEnd w:id="182"/>
      <w:bookmarkEnd w:id="183"/>
      <w:bookmarkEnd w:id="184"/>
      <w:bookmarkEnd w:id="185"/>
      <w:r>
        <w:rPr>
          <w:b w:val="false"/>
          <w:bCs w:val="false"/>
          <w:color w:val="auto"/>
        </w:rPr>
        <w:t xml:space="preserve">F, и, наконец, каждое число из </w:t>
      </w:r>
      <w:bookmarkStart w:id="186" w:name="MathJax-Element-30-Frame"/>
      <w:bookmarkStart w:id="187" w:name="MJXc-Node-220"/>
      <w:bookmarkStart w:id="188" w:name="MJXc-Node-218"/>
      <w:bookmarkStart w:id="189" w:name="MJXc-Node-219"/>
      <w:bookmarkEnd w:id="186"/>
      <w:bookmarkEnd w:id="187"/>
      <w:bookmarkEnd w:id="188"/>
      <w:bookmarkEnd w:id="189"/>
      <w:r>
        <w:rPr>
          <w:b w:val="false"/>
          <w:bCs w:val="false"/>
          <w:color w:val="auto"/>
        </w:rPr>
        <w:t xml:space="preserve">F должно представлять целый интервал действительных чисел, для которой, как и для любой модели, присущи допущения и ограничения. </w:t>
      </w:r>
    </w:p>
    <w:p>
      <w:pPr>
        <w:pStyle w:val="TextBody"/>
        <w:spacing w:before="0" w:after="283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На множестве </w:t>
      </w:r>
      <w:bookmarkStart w:id="190" w:name="MJXc-Node-221"/>
      <w:bookmarkStart w:id="191" w:name="MathJax-Element-31-Frame"/>
      <w:bookmarkStart w:id="192" w:name="MJXc-Node-223"/>
      <w:bookmarkStart w:id="193" w:name="MJXc-Node-222"/>
      <w:bookmarkEnd w:id="190"/>
      <w:bookmarkEnd w:id="191"/>
      <w:bookmarkEnd w:id="192"/>
      <w:bookmarkEnd w:id="193"/>
      <w:r>
        <w:rPr>
          <w:b w:val="false"/>
          <w:bCs w:val="false"/>
          <w:color w:val="auto"/>
        </w:rPr>
        <w:t xml:space="preserve">F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 </w:t>
      </w:r>
    </w:p>
    <w:p>
      <w:pPr>
        <w:pStyle w:val="TextBody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  <w:bookmarkStart w:id="194" w:name="%D0%BF%D0%BE%D1%81%D1%82%D0%B0%D0%BD%D0%"/>
      <w:bookmarkStart w:id="195" w:name="%D0%BF%D0%BE%D1%81%D1%82%D0%B0%D0%BD%D0%"/>
      <w:bookmarkEnd w:id="195"/>
    </w:p>
    <w:p>
      <w:pPr>
        <w:pStyle w:val="Normal"/>
        <w:spacing w:lineRule="auto" w:line="360"/>
        <w:ind w:firstLine="709"/>
        <w:jc w:val="left"/>
        <w:rPr>
          <w:sz w:val="28"/>
          <w:szCs w:val="28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lineRule="auto" w:line="36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auto"/>
          <w:sz w:val="28"/>
          <w:szCs w:val="28"/>
        </w:rPr>
        <w:t xml:space="preserve">Используя готовые программы, выполнить исследования машинной арифметики и точности вычислений на ПЭВМ. Программы для удобства пользователя объединены в одном исполняемом модуле </w:t>
      </w:r>
      <w:r>
        <w:rPr>
          <w:rStyle w:val="Emphasis"/>
          <w:color w:val="auto"/>
          <w:sz w:val="28"/>
          <w:szCs w:val="28"/>
        </w:rPr>
        <w:t>LAB1.EXE</w:t>
      </w:r>
      <w:r>
        <w:rPr>
          <w:color w:val="auto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Исследовать распределение нормализованных чисел с плавающей точкой на вещественной оси для различных значений параметров </w:t>
      </w:r>
      <w:bookmarkStart w:id="196" w:name="MJXc-Node-224"/>
      <w:bookmarkStart w:id="197" w:name="MJXc-Node-225"/>
      <w:bookmarkStart w:id="198" w:name="MJXc-Node-226"/>
      <w:bookmarkStart w:id="199" w:name="MathJax-Element-32-Frame"/>
      <w:bookmarkEnd w:id="196"/>
      <w:bookmarkEnd w:id="197"/>
      <w:bookmarkEnd w:id="198"/>
      <w:bookmarkEnd w:id="199"/>
      <w:r>
        <w:rPr>
          <w:b w:val="false"/>
          <w:bCs w:val="false"/>
          <w:color w:val="auto"/>
        </w:rPr>
        <w:t xml:space="preserve">b, </w:t>
      </w:r>
      <w:bookmarkStart w:id="200" w:name="MathJax-Element-33-Frame"/>
      <w:bookmarkStart w:id="201" w:name="MJXc-Node-227"/>
      <w:bookmarkStart w:id="202" w:name="MJXc-Node-228"/>
      <w:bookmarkStart w:id="203" w:name="MJXc-Node-229"/>
      <w:bookmarkEnd w:id="200"/>
      <w:bookmarkEnd w:id="201"/>
      <w:bookmarkEnd w:id="202"/>
      <w:bookmarkEnd w:id="203"/>
      <w:r>
        <w:rPr>
          <w:b w:val="false"/>
          <w:bCs w:val="false"/>
          <w:color w:val="auto"/>
        </w:rPr>
        <w:t xml:space="preserve">t, </w:t>
      </w:r>
      <w:bookmarkStart w:id="204" w:name="MJXc-Node-231"/>
      <w:bookmarkStart w:id="205" w:name="MathJax-Element-34-Frame"/>
      <w:bookmarkStart w:id="206" w:name="MJXc-Node-230"/>
      <w:bookmarkStart w:id="207" w:name="MJXc-Node-232"/>
      <w:bookmarkEnd w:id="204"/>
      <w:bookmarkEnd w:id="205"/>
      <w:bookmarkEnd w:id="206"/>
      <w:bookmarkEnd w:id="207"/>
      <w:r>
        <w:rPr>
          <w:b w:val="false"/>
          <w:bCs w:val="false"/>
          <w:color w:val="auto"/>
        </w:rPr>
        <w:t xml:space="preserve">m (из-за ограниченности ресурсов ПЭВМ не рекомендуется задавать большие значения параметров: </w:t>
      </w:r>
      <w:bookmarkStart w:id="208" w:name="MJXc-Node-233"/>
      <w:bookmarkStart w:id="209" w:name="MathJax-Element-35-Frame"/>
      <w:bookmarkStart w:id="210" w:name="MJXc-Node-235"/>
      <w:bookmarkStart w:id="211" w:name="MJXc-Node-234"/>
      <w:bookmarkEnd w:id="208"/>
      <w:bookmarkEnd w:id="209"/>
      <w:bookmarkEnd w:id="210"/>
      <w:bookmarkEnd w:id="211"/>
      <w:r>
        <w:rPr>
          <w:b w:val="false"/>
          <w:bCs w:val="false"/>
          <w:color w:val="auto"/>
        </w:rPr>
        <w:t>b</w:t>
      </w:r>
      <w:bookmarkStart w:id="212" w:name="MJXc-Node-236"/>
      <w:bookmarkEnd w:id="212"/>
      <w:r>
        <w:rPr>
          <w:b w:val="false"/>
          <w:bCs w:val="false"/>
          <w:color w:val="auto"/>
        </w:rPr>
        <w:t>=</w:t>
      </w:r>
      <w:bookmarkStart w:id="213" w:name="MJXc-Node-237"/>
      <w:bookmarkEnd w:id="213"/>
      <w:r>
        <w:rPr>
          <w:b w:val="false"/>
          <w:bCs w:val="false"/>
          <w:color w:val="auto"/>
        </w:rPr>
        <w:t xml:space="preserve">2, </w:t>
      </w:r>
      <w:bookmarkStart w:id="214" w:name="MathJax-Element-36-Frame"/>
      <w:bookmarkStart w:id="215" w:name="MJXc-Node-240"/>
      <w:bookmarkStart w:id="216" w:name="MJXc-Node-238"/>
      <w:bookmarkStart w:id="217" w:name="MJXc-Node-239"/>
      <w:bookmarkEnd w:id="214"/>
      <w:bookmarkEnd w:id="215"/>
      <w:bookmarkEnd w:id="216"/>
      <w:bookmarkEnd w:id="217"/>
      <w:r>
        <w:rPr>
          <w:b w:val="false"/>
          <w:bCs w:val="false"/>
          <w:color w:val="auto"/>
        </w:rPr>
        <w:t>t</w:t>
      </w:r>
      <w:bookmarkStart w:id="218" w:name="MJXc-Node-241"/>
      <w:bookmarkEnd w:id="218"/>
      <w:r>
        <w:rPr>
          <w:b w:val="false"/>
          <w:bCs w:val="false"/>
          <w:color w:val="auto"/>
        </w:rPr>
        <w:t>⩽</w:t>
      </w:r>
      <w:bookmarkStart w:id="219" w:name="MJXc-Node-242"/>
      <w:bookmarkEnd w:id="219"/>
      <w:r>
        <w:rPr>
          <w:b w:val="false"/>
          <w:bCs w:val="false"/>
          <w:color w:val="auto"/>
        </w:rPr>
        <w:t xml:space="preserve">7, </w:t>
      </w:r>
      <w:bookmarkStart w:id="220" w:name="MJXc-Node-245"/>
      <w:bookmarkStart w:id="221" w:name="MJXc-Node-244"/>
      <w:bookmarkStart w:id="222" w:name="MathJax-Element-37-Frame"/>
      <w:bookmarkStart w:id="223" w:name="MJXc-Node-243"/>
      <w:bookmarkEnd w:id="220"/>
      <w:bookmarkEnd w:id="221"/>
      <w:bookmarkEnd w:id="222"/>
      <w:bookmarkEnd w:id="223"/>
      <w:r>
        <w:rPr>
          <w:b w:val="false"/>
          <w:bCs w:val="false"/>
          <w:color w:val="auto"/>
        </w:rPr>
        <w:t>m</w:t>
      </w:r>
      <w:bookmarkStart w:id="224" w:name="MJXc-Node-246"/>
      <w:bookmarkEnd w:id="224"/>
      <w:r>
        <w:rPr>
          <w:b w:val="false"/>
          <w:bCs w:val="false"/>
          <w:color w:val="auto"/>
        </w:rPr>
        <w:t>⩽</w:t>
      </w:r>
      <w:bookmarkStart w:id="225" w:name="MJXc-Node-247"/>
      <w:bookmarkEnd w:id="225"/>
      <w:r>
        <w:rPr>
          <w:b w:val="false"/>
          <w:bCs w:val="false"/>
          <w:color w:val="auto"/>
        </w:rPr>
        <w:t>4).</w:t>
      </w:r>
    </w:p>
    <w:p>
      <w:pPr>
        <w:pStyle w:val="TextBody"/>
        <w:numPr>
          <w:ilvl w:val="0"/>
          <w:numId w:val="1"/>
        </w:numPr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Вычислить значения величины машинного эпсилон </w:t>
      </w:r>
      <w:bookmarkStart w:id="226" w:name="MathJax-Element-38-Frame"/>
      <w:bookmarkStart w:id="227" w:name="MJXc-Node-248"/>
      <w:bookmarkStart w:id="228" w:name="MJXc-Node-249"/>
      <w:bookmarkStart w:id="229" w:name="MJXc-Node-250"/>
      <w:bookmarkEnd w:id="226"/>
      <w:bookmarkEnd w:id="227"/>
      <w:bookmarkEnd w:id="228"/>
      <w:bookmarkEnd w:id="229"/>
      <w:r>
        <w:rPr>
          <w:b w:val="false"/>
          <w:bCs w:val="false"/>
          <w:color w:val="auto"/>
        </w:rPr>
        <w:t>ε</w:t>
      </w:r>
      <w:bookmarkStart w:id="230" w:name="MJXc-Node-251"/>
      <w:bookmarkEnd w:id="230"/>
      <w:r>
        <w:rPr>
          <w:b w:val="false"/>
          <w:bCs w:val="false"/>
          <w:color w:val="auto"/>
        </w:rPr>
        <w:t>(</w:t>
      </w:r>
      <w:bookmarkStart w:id="231" w:name="MJXc-Node-252"/>
      <w:bookmarkEnd w:id="231"/>
      <w:r>
        <w:rPr>
          <w:b w:val="false"/>
          <w:bCs w:val="false"/>
          <w:color w:val="auto"/>
        </w:rPr>
        <w:t>c</w:t>
      </w:r>
      <w:bookmarkStart w:id="232" w:name="MJXc-Node-253"/>
      <w:bookmarkEnd w:id="232"/>
      <w:r>
        <w:rPr>
          <w:b w:val="false"/>
          <w:bCs w:val="false"/>
          <w:color w:val="auto"/>
        </w:rPr>
        <w:t xml:space="preserve">) для различных значений константы </w:t>
      </w:r>
      <w:bookmarkStart w:id="233" w:name="MJXc-Node-254"/>
      <w:bookmarkStart w:id="234" w:name="MJXc-Node-255"/>
      <w:bookmarkStart w:id="235" w:name="MJXc-Node-256"/>
      <w:bookmarkStart w:id="236" w:name="MathJax-Element-39-Frame"/>
      <w:bookmarkEnd w:id="233"/>
      <w:bookmarkEnd w:id="234"/>
      <w:bookmarkEnd w:id="235"/>
      <w:bookmarkEnd w:id="236"/>
      <w:r>
        <w:rPr>
          <w:b w:val="false"/>
          <w:bCs w:val="false"/>
          <w:color w:val="auto"/>
        </w:rPr>
        <w:t>c, меняющихся от 0 до 2</w:t>
      </w:r>
      <w:r>
        <w:rPr>
          <w:b w:val="false"/>
          <w:bCs w:val="false"/>
          <w:color w:val="auto"/>
          <w:vertAlign w:val="superscript"/>
        </w:rPr>
        <w:t>15</w:t>
      </w:r>
      <w:r>
        <w:rPr>
          <w:b w:val="false"/>
          <w:bCs w:val="false"/>
          <w:color w:val="auto"/>
        </w:rPr>
        <w:t>, построить график этой зависимости и объяснить полученные результаты.</w:t>
      </w:r>
    </w:p>
    <w:p>
      <w:pPr>
        <w:pStyle w:val="TextBody"/>
        <w:numPr>
          <w:ilvl w:val="0"/>
          <w:numId w:val="1"/>
        </w:numPr>
        <w:jc w:val="left"/>
        <w:rPr>
          <w:b w:val="false"/>
          <w:b w:val="false"/>
          <w:bCs w:val="false"/>
          <w:color w:val="auto"/>
        </w:rPr>
      </w:pPr>
      <w:bookmarkStart w:id="237" w:name="__DdeLink__618_1358776190"/>
      <w:r>
        <w:rPr>
          <w:b w:val="false"/>
          <w:bCs w:val="false"/>
          <w:color w:val="auto"/>
        </w:rPr>
        <w:t>Исследовать абсолютные и относительные ошибки округления при вычислениях с плавающей точкой сумм чисел (</w:t>
      </w:r>
      <w:bookmarkStart w:id="238" w:name="MathJax-Element-40-Frame"/>
      <w:bookmarkStart w:id="239" w:name="MJXc-Node-257"/>
      <w:bookmarkStart w:id="240" w:name="MJXc-Node-258"/>
      <w:bookmarkStart w:id="241" w:name="MJXc-Node-259"/>
      <w:bookmarkEnd w:id="238"/>
      <w:bookmarkEnd w:id="239"/>
      <w:bookmarkEnd w:id="240"/>
      <w:bookmarkEnd w:id="241"/>
      <w:r>
        <w:rPr>
          <w:b w:val="false"/>
          <w:bCs w:val="false"/>
          <w:color w:val="auto"/>
        </w:rPr>
        <w:t xml:space="preserve">N чисел вида </w:t>
      </w:r>
      <w:bookmarkStart w:id="242" w:name="MJXc-Node-262"/>
      <w:bookmarkStart w:id="243" w:name="MJXc-Node-261"/>
      <w:bookmarkStart w:id="244" w:name="MJXc-Node-260"/>
      <w:bookmarkStart w:id="245" w:name="MathJax-Element-41-Frame"/>
      <w:bookmarkEnd w:id="242"/>
      <w:bookmarkEnd w:id="243"/>
      <w:bookmarkEnd w:id="244"/>
      <w:bookmarkEnd w:id="245"/>
      <w:r>
        <w:rPr>
          <w:b w:val="false"/>
          <w:bCs w:val="false"/>
          <w:color w:val="auto"/>
        </w:rPr>
        <w:t>1</w:t>
      </w:r>
      <w:bookmarkStart w:id="246" w:name="MJXc-Node-263"/>
      <w:bookmarkStart w:id="247" w:name="MJXc-Node-264"/>
      <w:bookmarkStart w:id="248" w:name="MJXc-Node-265"/>
      <w:bookmarkEnd w:id="246"/>
      <w:bookmarkEnd w:id="247"/>
      <w:bookmarkEnd w:id="248"/>
      <w:r>
        <w:rPr>
          <w:b w:val="false"/>
          <w:bCs w:val="false"/>
          <w:color w:val="auto"/>
        </w:rPr>
        <w:t>/</w:t>
      </w:r>
      <w:bookmarkStart w:id="249" w:name="MJXc-Node-266"/>
      <w:bookmarkEnd w:id="249"/>
      <w:r>
        <w:rPr>
          <w:b w:val="false"/>
          <w:bCs w:val="false"/>
          <w:color w:val="auto"/>
        </w:rPr>
        <w:t>N) при различных значениях шага суммирования. Объяснить полученные результаты.</w:t>
      </w:r>
      <w:bookmarkEnd w:id="237"/>
    </w:p>
    <w:p>
      <w:pPr>
        <w:pStyle w:val="TextBody"/>
        <w:numPr>
          <w:ilvl w:val="0"/>
          <w:numId w:val="1"/>
        </w:numPr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Исследовать проявления ошибок округления, возникающих при вычислении показательной функции </w:t>
      </w:r>
      <w:bookmarkStart w:id="250" w:name="MJXc-Node-270"/>
      <w:bookmarkStart w:id="251" w:name="MathJax-Element-42-Frame"/>
      <w:bookmarkStart w:id="252" w:name="MJXc-Node-267"/>
      <w:bookmarkStart w:id="253" w:name="MJXc-Node-268"/>
      <w:bookmarkStart w:id="254" w:name="MJXc-Node-269"/>
      <w:bookmarkEnd w:id="250"/>
      <w:bookmarkEnd w:id="251"/>
      <w:bookmarkEnd w:id="252"/>
      <w:bookmarkEnd w:id="253"/>
      <w:bookmarkEnd w:id="254"/>
      <w:r>
        <w:rPr>
          <w:b w:val="false"/>
          <w:bCs w:val="false"/>
          <w:color w:val="auto"/>
        </w:rPr>
        <w:t>e</w:t>
      </w:r>
      <w:bookmarkStart w:id="255" w:name="MJXc-Node-271"/>
      <w:bookmarkEnd w:id="255"/>
      <w:r>
        <w:rPr>
          <w:b w:val="false"/>
          <w:bCs w:val="false"/>
          <w:color w:val="auto"/>
          <w:vertAlign w:val="superscript"/>
        </w:rPr>
        <w:t>x</w:t>
      </w:r>
      <w:r>
        <w:rPr>
          <w:b w:val="false"/>
          <w:bCs w:val="false"/>
          <w:color w:val="auto"/>
        </w:rPr>
        <w:t xml:space="preserve"> для чисел с плавающей точкой для двух вариантов алгоритма вычислений, а также скорость сходимости обоих вариантов.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1)</w:t>
      </w:r>
      <w:r>
        <w:rPr>
          <w:b w:val="false"/>
          <w:bCs w:val="false"/>
          <w:color w:val="auto"/>
          <w:sz w:val="28"/>
          <w:szCs w:val="28"/>
        </w:rPr>
        <w:t xml:space="preserve">Исследовать распределение нормализованных чисел с плавающей точкой на вещественной оси для различных значений параметров </w:t>
      </w:r>
      <w:bookmarkStart w:id="256" w:name="MathJax-Element-32-Frame1"/>
      <w:bookmarkStart w:id="257" w:name="MJXc-Node-2241"/>
      <w:bookmarkStart w:id="258" w:name="MJXc-Node-2251"/>
      <w:bookmarkStart w:id="259" w:name="MJXc-Node-2261"/>
      <w:bookmarkEnd w:id="256"/>
      <w:bookmarkEnd w:id="257"/>
      <w:bookmarkEnd w:id="258"/>
      <w:bookmarkEnd w:id="259"/>
      <w:r>
        <w:rPr>
          <w:b w:val="false"/>
          <w:bCs w:val="false"/>
          <w:color w:val="auto"/>
          <w:sz w:val="28"/>
          <w:szCs w:val="28"/>
        </w:rPr>
        <w:t xml:space="preserve">b, </w:t>
      </w:r>
      <w:bookmarkStart w:id="260" w:name="MathJax-Element-33-Frame1"/>
      <w:bookmarkStart w:id="261" w:name="MJXc-Node-2291"/>
      <w:bookmarkStart w:id="262" w:name="MJXc-Node-2271"/>
      <w:bookmarkStart w:id="263" w:name="MJXc-Node-2281"/>
      <w:bookmarkEnd w:id="260"/>
      <w:bookmarkEnd w:id="261"/>
      <w:bookmarkEnd w:id="262"/>
      <w:bookmarkEnd w:id="263"/>
      <w:r>
        <w:rPr>
          <w:b w:val="false"/>
          <w:bCs w:val="false"/>
          <w:color w:val="auto"/>
          <w:sz w:val="28"/>
          <w:szCs w:val="28"/>
        </w:rPr>
        <w:t xml:space="preserve">t, </w:t>
      </w:r>
      <w:bookmarkStart w:id="264" w:name="MathJax-Element-34-Frame1"/>
      <w:bookmarkStart w:id="265" w:name="MJXc-Node-2301"/>
      <w:bookmarkStart w:id="266" w:name="MJXc-Node-2311"/>
      <w:bookmarkStart w:id="267" w:name="MJXc-Node-2321"/>
      <w:bookmarkEnd w:id="264"/>
      <w:bookmarkEnd w:id="265"/>
      <w:bookmarkEnd w:id="266"/>
      <w:bookmarkEnd w:id="267"/>
      <w:r>
        <w:rPr>
          <w:b w:val="false"/>
          <w:bCs w:val="false"/>
          <w:color w:val="auto"/>
          <w:sz w:val="28"/>
          <w:szCs w:val="28"/>
        </w:rPr>
        <w:t xml:space="preserve">m (из-за ограниченности ресурсов ПЭВМ не рекомендуется задавать большие значения параметров: </w:t>
      </w:r>
      <w:bookmarkStart w:id="268" w:name="MJXc-Node-2351"/>
      <w:bookmarkStart w:id="269" w:name="MJXc-Node-2341"/>
      <w:bookmarkStart w:id="270" w:name="MJXc-Node-2331"/>
      <w:bookmarkStart w:id="271" w:name="MathJax-Element-35-Frame1"/>
      <w:bookmarkEnd w:id="268"/>
      <w:bookmarkEnd w:id="269"/>
      <w:bookmarkEnd w:id="270"/>
      <w:bookmarkEnd w:id="271"/>
      <w:r>
        <w:rPr>
          <w:b w:val="false"/>
          <w:bCs w:val="false"/>
          <w:color w:val="auto"/>
          <w:sz w:val="28"/>
          <w:szCs w:val="28"/>
        </w:rPr>
        <w:t>b</w:t>
      </w:r>
      <w:bookmarkStart w:id="272" w:name="MJXc-Node-2361"/>
      <w:bookmarkEnd w:id="272"/>
      <w:r>
        <w:rPr>
          <w:b w:val="false"/>
          <w:bCs w:val="false"/>
          <w:color w:val="auto"/>
          <w:sz w:val="28"/>
          <w:szCs w:val="28"/>
        </w:rPr>
        <w:t>=</w:t>
      </w:r>
      <w:bookmarkStart w:id="273" w:name="MJXc-Node-2371"/>
      <w:bookmarkEnd w:id="273"/>
      <w:r>
        <w:rPr>
          <w:b w:val="false"/>
          <w:bCs w:val="false"/>
          <w:color w:val="auto"/>
          <w:sz w:val="28"/>
          <w:szCs w:val="28"/>
        </w:rPr>
        <w:t xml:space="preserve">2, </w:t>
      </w:r>
      <w:bookmarkStart w:id="274" w:name="MathJax-Element-36-Frame1"/>
      <w:bookmarkStart w:id="275" w:name="MJXc-Node-2381"/>
      <w:bookmarkStart w:id="276" w:name="MJXc-Node-2391"/>
      <w:bookmarkStart w:id="277" w:name="MJXc-Node-2401"/>
      <w:bookmarkEnd w:id="274"/>
      <w:bookmarkEnd w:id="275"/>
      <w:bookmarkEnd w:id="276"/>
      <w:bookmarkEnd w:id="277"/>
      <w:r>
        <w:rPr>
          <w:b w:val="false"/>
          <w:bCs w:val="false"/>
          <w:color w:val="auto"/>
          <w:sz w:val="28"/>
          <w:szCs w:val="28"/>
        </w:rPr>
        <w:t>t</w:t>
      </w:r>
      <w:bookmarkStart w:id="278" w:name="MJXc-Node-2411"/>
      <w:bookmarkEnd w:id="278"/>
      <w:r>
        <w:rPr>
          <w:b w:val="false"/>
          <w:bCs w:val="false"/>
          <w:color w:val="auto"/>
          <w:sz w:val="28"/>
          <w:szCs w:val="28"/>
        </w:rPr>
        <w:t>⩽</w:t>
      </w:r>
      <w:bookmarkStart w:id="279" w:name="MJXc-Node-2421"/>
      <w:bookmarkEnd w:id="279"/>
      <w:r>
        <w:rPr>
          <w:b w:val="false"/>
          <w:bCs w:val="false"/>
          <w:color w:val="auto"/>
          <w:sz w:val="28"/>
          <w:szCs w:val="28"/>
        </w:rPr>
        <w:t xml:space="preserve">7, </w:t>
      </w:r>
      <w:bookmarkStart w:id="280" w:name="MJXc-Node-2431"/>
      <w:bookmarkStart w:id="281" w:name="MJXc-Node-2441"/>
      <w:bookmarkStart w:id="282" w:name="MJXc-Node-2451"/>
      <w:bookmarkStart w:id="283" w:name="MathJax-Element-37-Frame1"/>
      <w:bookmarkEnd w:id="280"/>
      <w:bookmarkEnd w:id="281"/>
      <w:bookmarkEnd w:id="282"/>
      <w:bookmarkEnd w:id="283"/>
      <w:r>
        <w:rPr>
          <w:b w:val="false"/>
          <w:bCs w:val="false"/>
          <w:color w:val="auto"/>
          <w:sz w:val="28"/>
          <w:szCs w:val="28"/>
        </w:rPr>
        <w:t>m</w:t>
      </w:r>
      <w:bookmarkStart w:id="284" w:name="MJXc-Node-2461"/>
      <w:bookmarkEnd w:id="284"/>
      <w:r>
        <w:rPr>
          <w:b w:val="false"/>
          <w:bCs w:val="false"/>
          <w:color w:val="auto"/>
          <w:sz w:val="28"/>
          <w:szCs w:val="28"/>
        </w:rPr>
        <w:t>⩽</w:t>
      </w:r>
      <w:bookmarkStart w:id="285" w:name="MJXc-Node-2471"/>
      <w:bookmarkEnd w:id="285"/>
      <w:r>
        <w:rPr>
          <w:b w:val="false"/>
          <w:bCs w:val="false"/>
          <w:color w:val="auto"/>
          <w:sz w:val="28"/>
          <w:szCs w:val="28"/>
        </w:rPr>
        <w:t>4).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Исходные данные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 = 2; t = 3; m = 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 = 2; t = </w:t>
            </w:r>
            <w:r>
              <w:rPr/>
              <w:t>2</w:t>
            </w:r>
            <w:r>
              <w:rPr/>
              <w:t xml:space="preserve">; m = </w:t>
            </w: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 = 2; t = </w:t>
            </w:r>
            <w:r>
              <w:rPr/>
              <w:t>2</w:t>
            </w:r>
            <w:r>
              <w:rPr/>
              <w:t xml:space="preserve">; m = </w:t>
            </w: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x[0]=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0.003906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0.062500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0.250000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x[2]=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0.004883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0.93750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0.375000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x[3]=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0.005859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0.125000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0.500000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x[4]=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0.006836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0.187500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0.750000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x[5]=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0.007812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0.250000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1.000000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x[6]=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0.009766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0.375000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1.500000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x[7]=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0.011719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x[8]=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0.013672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0.750000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x[9]=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0.015625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x[10]=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0.019531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1.500000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x[11]=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0.023437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x[12]=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0.027344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x[13]=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0.031250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x[14]=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0.039062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6.000000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x[15]=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0.046875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x[16]=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0.054687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color w:val="FF0000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FF0000"/>
          <w:sz w:val="28"/>
          <w:szCs w:val="28"/>
        </w:rPr>
        <w:t>2)</w:t>
      </w:r>
      <w:r>
        <w:rPr>
          <w:b w:val="false"/>
          <w:bCs w:val="false"/>
          <w:color w:val="auto"/>
          <w:sz w:val="28"/>
          <w:szCs w:val="28"/>
        </w:rPr>
        <w:t xml:space="preserve">Вычислить значения величины машинного эпсилон </w:t>
      </w:r>
      <w:bookmarkStart w:id="286" w:name="MathJax-Element-38-Frame1"/>
      <w:bookmarkStart w:id="287" w:name="MJXc-Node-2481"/>
      <w:bookmarkStart w:id="288" w:name="MJXc-Node-2491"/>
      <w:bookmarkStart w:id="289" w:name="MJXc-Node-2501"/>
      <w:bookmarkEnd w:id="286"/>
      <w:bookmarkEnd w:id="287"/>
      <w:bookmarkEnd w:id="288"/>
      <w:bookmarkEnd w:id="289"/>
      <w:r>
        <w:rPr>
          <w:b w:val="false"/>
          <w:bCs w:val="false"/>
          <w:color w:val="auto"/>
          <w:sz w:val="28"/>
          <w:szCs w:val="28"/>
        </w:rPr>
        <w:t>ε</w:t>
      </w:r>
      <w:bookmarkStart w:id="290" w:name="MJXc-Node-2511"/>
      <w:bookmarkEnd w:id="290"/>
      <w:r>
        <w:rPr>
          <w:b w:val="false"/>
          <w:bCs w:val="false"/>
          <w:color w:val="auto"/>
          <w:sz w:val="28"/>
          <w:szCs w:val="28"/>
        </w:rPr>
        <w:t>(</w:t>
      </w:r>
      <w:bookmarkStart w:id="291" w:name="MJXc-Node-2521"/>
      <w:bookmarkEnd w:id="291"/>
      <w:r>
        <w:rPr>
          <w:b w:val="false"/>
          <w:bCs w:val="false"/>
          <w:color w:val="auto"/>
          <w:sz w:val="28"/>
          <w:szCs w:val="28"/>
        </w:rPr>
        <w:t>c</w:t>
      </w:r>
      <w:bookmarkStart w:id="292" w:name="MJXc-Node-2531"/>
      <w:bookmarkEnd w:id="292"/>
      <w:r>
        <w:rPr>
          <w:b w:val="false"/>
          <w:bCs w:val="false"/>
          <w:color w:val="auto"/>
          <w:sz w:val="28"/>
          <w:szCs w:val="28"/>
        </w:rPr>
        <w:t xml:space="preserve">) для различных значений константы </w:t>
      </w:r>
      <w:bookmarkStart w:id="293" w:name="MathJax-Element-39-Frame1"/>
      <w:bookmarkStart w:id="294" w:name="MJXc-Node-2541"/>
      <w:bookmarkStart w:id="295" w:name="MJXc-Node-2551"/>
      <w:bookmarkStart w:id="296" w:name="MJXc-Node-2561"/>
      <w:bookmarkEnd w:id="293"/>
      <w:bookmarkEnd w:id="294"/>
      <w:bookmarkEnd w:id="295"/>
      <w:bookmarkEnd w:id="296"/>
      <w:r>
        <w:rPr>
          <w:b w:val="false"/>
          <w:bCs w:val="false"/>
          <w:color w:val="auto"/>
          <w:sz w:val="28"/>
          <w:szCs w:val="28"/>
        </w:rPr>
        <w:t>c, меняющихся от 0 до 2</w:t>
      </w:r>
      <w:r>
        <w:rPr>
          <w:b w:val="false"/>
          <w:bCs w:val="false"/>
          <w:color w:val="auto"/>
          <w:sz w:val="28"/>
          <w:szCs w:val="28"/>
          <w:vertAlign w:val="superscript"/>
        </w:rPr>
        <w:t>15</w:t>
      </w:r>
      <w:r>
        <w:rPr>
          <w:b w:val="false"/>
          <w:bCs w:val="false"/>
          <w:color w:val="auto"/>
          <w:sz w:val="28"/>
          <w:szCs w:val="28"/>
        </w:rPr>
        <w:t>, построить график этой зависимости и объяснить полученные результаты.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ascii="Noto Sans" w:hAnsi="Noto Sans"/>
              </w:rPr>
              <w:t>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0.00000000000000005551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0.00000000000000022204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0.00000000000000044408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0.00000000000000088817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0.00000000000000177635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3)Исследовать абсолютные и относительные ошибки округления при вычислениях с плавающей точкой сумм чисел (</w:t>
      </w:r>
      <w:bookmarkStart w:id="297" w:name="MJXc-Node-2571"/>
      <w:bookmarkStart w:id="298" w:name="MJXc-Node-2591"/>
      <w:bookmarkStart w:id="299" w:name="MJXc-Node-2581"/>
      <w:bookmarkStart w:id="300" w:name="MathJax-Element-40-Frame1"/>
      <w:bookmarkEnd w:id="297"/>
      <w:bookmarkEnd w:id="298"/>
      <w:bookmarkEnd w:id="299"/>
      <w:bookmarkEnd w:id="300"/>
      <w:r>
        <w:rPr>
          <w:b w:val="false"/>
          <w:bCs w:val="false"/>
          <w:color w:val="auto"/>
          <w:sz w:val="28"/>
          <w:szCs w:val="28"/>
        </w:rPr>
        <w:t xml:space="preserve">N чисел вида </w:t>
      </w:r>
      <w:bookmarkStart w:id="301" w:name="MathJax-Element-41-Frame1"/>
      <w:bookmarkStart w:id="302" w:name="MJXc-Node-2621"/>
      <w:bookmarkStart w:id="303" w:name="MJXc-Node-2601"/>
      <w:bookmarkStart w:id="304" w:name="MJXc-Node-2611"/>
      <w:bookmarkEnd w:id="301"/>
      <w:bookmarkEnd w:id="302"/>
      <w:bookmarkEnd w:id="303"/>
      <w:bookmarkEnd w:id="304"/>
      <w:r>
        <w:rPr>
          <w:b w:val="false"/>
          <w:bCs w:val="false"/>
          <w:color w:val="auto"/>
          <w:sz w:val="28"/>
          <w:szCs w:val="28"/>
        </w:rPr>
        <w:t>1</w:t>
      </w:r>
      <w:bookmarkStart w:id="305" w:name="MJXc-Node-2631"/>
      <w:bookmarkStart w:id="306" w:name="MJXc-Node-2641"/>
      <w:bookmarkStart w:id="307" w:name="MJXc-Node-2651"/>
      <w:bookmarkEnd w:id="305"/>
      <w:bookmarkEnd w:id="306"/>
      <w:bookmarkEnd w:id="307"/>
      <w:r>
        <w:rPr>
          <w:b w:val="false"/>
          <w:bCs w:val="false"/>
          <w:color w:val="auto"/>
          <w:sz w:val="28"/>
          <w:szCs w:val="28"/>
        </w:rPr>
        <w:t>/</w:t>
      </w:r>
      <w:bookmarkStart w:id="308" w:name="MJXc-Node-2661"/>
      <w:bookmarkEnd w:id="308"/>
      <w:r>
        <w:rPr>
          <w:b w:val="false"/>
          <w:bCs w:val="false"/>
          <w:color w:val="auto"/>
          <w:sz w:val="28"/>
          <w:szCs w:val="28"/>
        </w:rPr>
        <w:t>N) при различных значениях шага суммирования. Объяснить полученные результаты.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auto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auto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  <w:color w:val="auto"/>
        </w:rPr>
        <w:t>Приложение А</w:t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  <w:color w:val="auto"/>
        </w:rPr>
        <w:t>Название приложения</w:t>
      </w:r>
    </w:p>
    <w:p>
      <w:pPr>
        <w:pStyle w:val="Normal"/>
        <w:spacing w:lineRule="auto" w:line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Полный код программы приводится только в приложении (один файл – одно приложение). Для кода: размер шрифта 12 кегль, межстрочный интервал 1,15, стиль шрифта </w:t>
      </w:r>
      <w:r>
        <w:rPr>
          <w:color w:val="auto"/>
          <w:sz w:val="28"/>
          <w:szCs w:val="28"/>
          <w:lang w:val="en-US"/>
        </w:rPr>
        <w:t>Consolas</w:t>
      </w:r>
      <w:r>
        <w:rPr>
          <w:color w:val="auto"/>
          <w:sz w:val="28"/>
          <w:szCs w:val="28"/>
        </w:rPr>
        <w:t xml:space="preserve"> (для языков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#, </w:t>
      </w:r>
      <w:r>
        <w:rPr>
          <w:color w:val="auto"/>
          <w:sz w:val="28"/>
          <w:szCs w:val="28"/>
          <w:lang w:val="en-US"/>
        </w:rPr>
        <w:t>R</w:t>
      </w:r>
      <w:r>
        <w:rPr>
          <w:color w:val="auto"/>
          <w:sz w:val="28"/>
          <w:szCs w:val="28"/>
        </w:rPr>
        <w:t xml:space="preserve">) или </w:t>
      </w:r>
      <w:r>
        <w:rPr>
          <w:color w:val="auto"/>
          <w:sz w:val="28"/>
          <w:szCs w:val="28"/>
          <w:lang w:val="en-US"/>
        </w:rPr>
        <w:t>Courier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New</w:t>
      </w:r>
      <w:r>
        <w:rPr>
          <w:color w:val="auto"/>
          <w:sz w:val="28"/>
          <w:szCs w:val="28"/>
        </w:rPr>
        <w:t xml:space="preserve"> (для языков/пакетов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, Python, G</w:t>
      </w:r>
      <w:r>
        <w:rPr>
          <w:color w:val="auto"/>
          <w:sz w:val="28"/>
          <w:szCs w:val="28"/>
          <w:lang w:val="en-US"/>
        </w:rPr>
        <w:t>NU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Octave</w:t>
      </w:r>
      <w:r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MATLAB</w:t>
      </w:r>
      <w:r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Sage</w:t>
      </w:r>
      <w:r>
        <w:rPr>
          <w:color w:val="auto"/>
          <w:sz w:val="28"/>
          <w:szCs w:val="28"/>
        </w:rPr>
        <w:t>).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oto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Internet 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Название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6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7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Header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6</Pages>
  <Words>883</Words>
  <Characters>5967</Characters>
  <CharactersWithSpaces>6750</CharactersWithSpaces>
  <Paragraphs>118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en-GB</dc:language>
  <cp:lastModifiedBy/>
  <cp:lastPrinted>2015-07-17T09:06:00Z</cp:lastPrinted>
  <dcterms:modified xsi:type="dcterms:W3CDTF">2019-09-12T18:26:53Z</dcterms:modified>
  <cp:revision>13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