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B9" w:rsidRDefault="00E54408" w:rsidP="00E60AE6">
      <w:pPr>
        <w:spacing w:line="360" w:lineRule="auto"/>
        <w:ind w:firstLine="408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105B9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105B9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105B9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105B9" w:rsidRDefault="00E544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7105B9" w:rsidRDefault="007105B9">
      <w:pPr>
        <w:spacing w:line="360" w:lineRule="auto"/>
        <w:jc w:val="center"/>
        <w:rPr>
          <w:b/>
          <w:caps/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E54408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7105B9" w:rsidRDefault="00E544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7105B9" w:rsidRDefault="00E544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«Вычислительная математика»</w:t>
      </w:r>
    </w:p>
    <w:p w:rsidR="007105B9" w:rsidRDefault="00E54408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bookmarkStart w:id="0" w:name="%2525252525252525D0%2525252525252525BF%2"/>
      <w:bookmarkEnd w:id="0"/>
      <w:r>
        <w:rPr>
          <w:rStyle w:val="ac"/>
          <w:smallCaps w:val="0"/>
          <w:sz w:val="28"/>
          <w:szCs w:val="28"/>
        </w:rPr>
        <w:t>Особенности машинной арифметики, точность вычислений на ЭВМ</w:t>
      </w: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7105B9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7105B9" w:rsidRDefault="00E544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05B9" w:rsidRDefault="007105B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7105B9" w:rsidRDefault="00E54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7105B9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7105B9" w:rsidRDefault="00E544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05B9" w:rsidRDefault="007105B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7105B9" w:rsidRDefault="00E54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:rsidR="007105B9" w:rsidRDefault="007105B9">
      <w:pPr>
        <w:spacing w:line="360" w:lineRule="auto"/>
        <w:jc w:val="center"/>
        <w:rPr>
          <w:bCs/>
          <w:sz w:val="28"/>
          <w:szCs w:val="28"/>
        </w:rPr>
      </w:pPr>
    </w:p>
    <w:p w:rsidR="007105B9" w:rsidRDefault="007105B9">
      <w:pPr>
        <w:spacing w:line="360" w:lineRule="auto"/>
        <w:jc w:val="center"/>
        <w:rPr>
          <w:bCs/>
          <w:sz w:val="28"/>
          <w:szCs w:val="28"/>
        </w:rPr>
      </w:pPr>
    </w:p>
    <w:p w:rsidR="007105B9" w:rsidRDefault="00E544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105B9" w:rsidRDefault="00E54408">
      <w:pPr>
        <w:spacing w:line="360" w:lineRule="auto"/>
        <w:jc w:val="center"/>
      </w:pPr>
      <w:r>
        <w:rPr>
          <w:bCs/>
          <w:sz w:val="28"/>
          <w:szCs w:val="28"/>
        </w:rPr>
        <w:t>20</w:t>
      </w:r>
      <w:r>
        <w:rPr>
          <w:caps/>
          <w:sz w:val="28"/>
          <w:szCs w:val="28"/>
          <w:lang w:val="en-US"/>
        </w:rPr>
        <w:t>19</w:t>
      </w:r>
      <w:r>
        <w:br w:type="page"/>
      </w:r>
    </w:p>
    <w:p w:rsidR="007105B9" w:rsidRDefault="00E54408">
      <w:pPr>
        <w:spacing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7105B9" w:rsidRDefault="00E544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особенностей вычислений с плавающей точкой в ЭВМ. </w:t>
      </w:r>
    </w:p>
    <w:p w:rsidR="007105B9" w:rsidRDefault="007105B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105B9" w:rsidRDefault="00E544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7105B9" w:rsidRDefault="00E5440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фундаменте математического анализа прочно утвердилась система действительных чисел. Однако, как бы она не упрощала анализ, практические вычисления вынуждены обходиться без нее. 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точкой. Множество </w:t>
      </w:r>
      <w:bookmarkStart w:id="1" w:name="MJXc-Node-2"/>
      <w:bookmarkStart w:id="2" w:name="MJXc-Node-3"/>
      <w:bookmarkStart w:id="3" w:name="MathJax-Element-1-Frame"/>
      <w:bookmarkStart w:id="4" w:name="MJXc-Node-1"/>
      <w:bookmarkEnd w:id="1"/>
      <w:bookmarkEnd w:id="2"/>
      <w:bookmarkEnd w:id="3"/>
      <w:bookmarkEnd w:id="4"/>
      <w:r>
        <w:rPr>
          <w:sz w:val="28"/>
          <w:szCs w:val="28"/>
        </w:rPr>
        <w:t xml:space="preserve">F чисел с плавающей точкой характеризуется четырьмя параметрами: основанием </w:t>
      </w:r>
      <w:bookmarkStart w:id="5" w:name="MJXc-Node-4"/>
      <w:bookmarkStart w:id="6" w:name="MathJax-Element-2-Frame"/>
      <w:bookmarkStart w:id="7" w:name="MJXc-Node-5"/>
      <w:bookmarkStart w:id="8" w:name="MJXc-Node-6"/>
      <w:bookmarkEnd w:id="5"/>
      <w:bookmarkEnd w:id="6"/>
      <w:bookmarkEnd w:id="7"/>
      <w:bookmarkEnd w:id="8"/>
      <w:r>
        <w:rPr>
          <w:i/>
          <w:iCs/>
          <w:sz w:val="28"/>
          <w:szCs w:val="28"/>
        </w:rPr>
        <w:t>b,</w:t>
      </w:r>
      <w:r>
        <w:rPr>
          <w:sz w:val="28"/>
          <w:szCs w:val="28"/>
        </w:rPr>
        <w:t xml:space="preserve"> точностью </w:t>
      </w:r>
      <w:bookmarkStart w:id="9" w:name="MathJax-Element-3-Frame"/>
      <w:bookmarkStart w:id="10" w:name="MJXc-Node-7"/>
      <w:bookmarkStart w:id="11" w:name="MJXc-Node-8"/>
      <w:bookmarkStart w:id="12" w:name="MJXc-Node-9"/>
      <w:bookmarkEnd w:id="9"/>
      <w:bookmarkEnd w:id="10"/>
      <w:bookmarkEnd w:id="11"/>
      <w:bookmarkEnd w:id="12"/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и интервалом показателей </w:t>
      </w:r>
      <w:bookmarkStart w:id="13" w:name="MJXc-Node-10"/>
      <w:bookmarkStart w:id="14" w:name="MJXc-Node-11"/>
      <w:bookmarkStart w:id="15" w:name="MJXc-Node-12"/>
      <w:bookmarkStart w:id="16" w:name="MathJax-Element-4-Frame"/>
      <w:bookmarkEnd w:id="13"/>
      <w:bookmarkEnd w:id="14"/>
      <w:bookmarkEnd w:id="15"/>
      <w:bookmarkEnd w:id="16"/>
      <w:r>
        <w:rPr>
          <w:sz w:val="28"/>
          <w:szCs w:val="28"/>
        </w:rPr>
        <w:t>[</w:t>
      </w:r>
      <w:bookmarkStart w:id="17" w:name="MJXc-Node-13"/>
      <w:bookmarkEnd w:id="17"/>
      <w:r>
        <w:rPr>
          <w:i/>
          <w:iCs/>
          <w:sz w:val="28"/>
          <w:szCs w:val="28"/>
        </w:rPr>
        <w:t>L</w:t>
      </w:r>
      <w:bookmarkStart w:id="18" w:name="MJXc-Node-14"/>
      <w:bookmarkEnd w:id="18"/>
      <w:r>
        <w:rPr>
          <w:i/>
          <w:iCs/>
          <w:sz w:val="28"/>
          <w:szCs w:val="28"/>
        </w:rPr>
        <w:t>,</w:t>
      </w:r>
      <w:bookmarkStart w:id="19" w:name="MJXc-Node-15"/>
      <w:bookmarkEnd w:id="19"/>
      <w:r>
        <w:rPr>
          <w:i/>
          <w:iCs/>
          <w:sz w:val="28"/>
          <w:szCs w:val="28"/>
        </w:rPr>
        <w:t>M</w:t>
      </w:r>
      <w:bookmarkStart w:id="20" w:name="MJXc-Node-16"/>
      <w:bookmarkEnd w:id="20"/>
      <w:r>
        <w:rPr>
          <w:sz w:val="28"/>
          <w:szCs w:val="28"/>
        </w:rPr>
        <w:t xml:space="preserve">]. Каждое число с плавающей точкой, принадлежащее </w:t>
      </w:r>
      <w:bookmarkStart w:id="21" w:name="MJXc-Node-17"/>
      <w:bookmarkStart w:id="22" w:name="MJXc-Node-19"/>
      <w:bookmarkStart w:id="23" w:name="MJXc-Node-18"/>
      <w:bookmarkStart w:id="24" w:name="MathJax-Element-5-Frame"/>
      <w:bookmarkEnd w:id="21"/>
      <w:bookmarkEnd w:id="22"/>
      <w:bookmarkEnd w:id="23"/>
      <w:bookmarkEnd w:id="24"/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, имеет значение </w:t>
      </w:r>
    </w:p>
    <w:p w:rsidR="007105B9" w:rsidRDefault="00E60AE6">
      <w:pPr>
        <w:pStyle w:val="ae"/>
        <w:spacing w:after="283"/>
      </w:pPr>
      <m:oMathPara>
        <m:oMath>
          <m:r>
            <w:rPr>
              <w:rFonts w:ascii="Cambria Math" w:hAnsi="Cambria Math"/>
            </w:rPr>
            <m:t>x=±</m:t>
          </m:r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b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7105B9" w:rsidRDefault="00E54408">
      <w:pPr>
        <w:pStyle w:val="ae"/>
        <w:spacing w:after="283" w:line="360" w:lineRule="auto"/>
        <w:jc w:val="both"/>
      </w:pPr>
      <w:r>
        <w:rPr>
          <w:b w:val="0"/>
          <w:szCs w:val="28"/>
        </w:rPr>
        <w:t xml:space="preserve">где целые числа </w:t>
      </w:r>
      <w:bookmarkStart w:id="25" w:name="MJXc-Node-58"/>
      <w:bookmarkStart w:id="26" w:name="MathJax-Element-7-Frame"/>
      <w:bookmarkStart w:id="27" w:name="MJXc-Node-57"/>
      <w:bookmarkStart w:id="28" w:name="MJXc-Node-59"/>
      <w:bookmarkStart w:id="29" w:name="MJXc-Node-56"/>
      <w:bookmarkEnd w:id="25"/>
      <w:bookmarkEnd w:id="26"/>
      <w:bookmarkEnd w:id="27"/>
      <w:bookmarkEnd w:id="28"/>
      <w:bookmarkEnd w:id="29"/>
      <w:r>
        <w:rPr>
          <w:b w:val="0"/>
          <w:i/>
          <w:iCs/>
          <w:szCs w:val="28"/>
        </w:rPr>
        <w:t>d</w:t>
      </w:r>
      <w:r>
        <w:rPr>
          <w:b w:val="0"/>
          <w:szCs w:val="28"/>
          <w:vertAlign w:val="subscript"/>
        </w:rPr>
        <w:t>1</w:t>
      </w:r>
      <w:bookmarkStart w:id="30" w:name="MJXc-Node-61"/>
      <w:bookmarkEnd w:id="30"/>
      <w:r>
        <w:rPr>
          <w:b w:val="0"/>
          <w:szCs w:val="28"/>
        </w:rPr>
        <w:t>,</w:t>
      </w:r>
      <w:bookmarkStart w:id="31" w:name="MJXc-Node-62"/>
      <w:bookmarkStart w:id="32" w:name="MJXc-Node-63"/>
      <w:bookmarkEnd w:id="31"/>
      <w:bookmarkEnd w:id="32"/>
      <w:r>
        <w:rPr>
          <w:b w:val="0"/>
          <w:i/>
          <w:iCs/>
          <w:szCs w:val="28"/>
        </w:rPr>
        <w:t>d</w:t>
      </w:r>
      <w:bookmarkStart w:id="33" w:name="MJXc-Node-64"/>
      <w:bookmarkEnd w:id="33"/>
      <w:r>
        <w:rPr>
          <w:b w:val="0"/>
          <w:szCs w:val="28"/>
          <w:vertAlign w:val="subscript"/>
        </w:rPr>
        <w:t>2</w:t>
      </w:r>
      <w:bookmarkStart w:id="34" w:name="MJXc-Node-65"/>
      <w:bookmarkEnd w:id="34"/>
      <w:r>
        <w:rPr>
          <w:b w:val="0"/>
          <w:szCs w:val="28"/>
        </w:rPr>
        <w:t>,</w:t>
      </w:r>
      <w:bookmarkStart w:id="35" w:name="MJXc-Node-66"/>
      <w:bookmarkEnd w:id="35"/>
      <w:r>
        <w:rPr>
          <w:b w:val="0"/>
          <w:szCs w:val="28"/>
        </w:rPr>
        <w:t>…</w:t>
      </w:r>
      <w:bookmarkStart w:id="36" w:name="MJXc-Node-67"/>
      <w:bookmarkEnd w:id="36"/>
      <w:r>
        <w:rPr>
          <w:b w:val="0"/>
          <w:szCs w:val="28"/>
        </w:rPr>
        <w:t>,</w:t>
      </w:r>
      <w:bookmarkStart w:id="37" w:name="MJXc-Node-68"/>
      <w:bookmarkStart w:id="38" w:name="MJXc-Node-69"/>
      <w:bookmarkEnd w:id="37"/>
      <w:bookmarkEnd w:id="38"/>
      <w:r>
        <w:rPr>
          <w:b w:val="0"/>
          <w:i/>
          <w:iCs/>
          <w:szCs w:val="28"/>
        </w:rPr>
        <w:t>d</w:t>
      </w:r>
      <w:bookmarkStart w:id="39" w:name="MJXc-Node-70"/>
      <w:bookmarkEnd w:id="39"/>
      <w:r>
        <w:rPr>
          <w:b w:val="0"/>
          <w:i/>
          <w:iCs/>
          <w:szCs w:val="28"/>
          <w:vertAlign w:val="subscript"/>
        </w:rPr>
        <w:t>t</w:t>
      </w:r>
      <w:r>
        <w:rPr>
          <w:b w:val="0"/>
          <w:szCs w:val="28"/>
        </w:rPr>
        <w:t xml:space="preserve"> удовлетворяют неравенствам </w:t>
      </w:r>
      <w:bookmarkStart w:id="40" w:name="MJXc-Node-71"/>
      <w:bookmarkStart w:id="41" w:name="MathJax-Element-8-Frame"/>
      <w:bookmarkStart w:id="42" w:name="MJXc-Node-72"/>
      <w:bookmarkStart w:id="43" w:name="MJXc-Node-73"/>
      <w:bookmarkEnd w:id="40"/>
      <w:bookmarkEnd w:id="41"/>
      <w:bookmarkEnd w:id="42"/>
      <w:bookmarkEnd w:id="43"/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&lt;b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w:rPr>
                <w:rFonts w:ascii="Cambria Math" w:hAnsi="Cambria Math"/>
              </w:rPr>
              <m:t>j=1..t</m:t>
            </m:r>
          </m:e>
        </m:d>
      </m:oMath>
      <w:r>
        <w:rPr>
          <w:b w:val="0"/>
          <w:szCs w:val="28"/>
        </w:rPr>
        <w:t xml:space="preserve"> и </w:t>
      </w:r>
      <m:oMath>
        <m:r>
          <w:rPr>
            <w:rFonts w:ascii="Cambria Math" w:hAnsi="Cambria Math"/>
          </w:rPr>
          <m:t>L≤n≤m</m:t>
        </m:r>
      </m:oMath>
      <w:r>
        <w:rPr>
          <w:b w:val="0"/>
          <w:szCs w:val="28"/>
        </w:rPr>
        <w:t xml:space="preserve">. Если для каждого ненулевого </w:t>
      </w:r>
      <w:bookmarkStart w:id="44" w:name="MJXc-Node-99"/>
      <w:bookmarkStart w:id="45" w:name="MJXc-Node-97"/>
      <w:bookmarkStart w:id="46" w:name="MJXc-Node-98"/>
      <w:bookmarkStart w:id="47" w:name="MathJax-Element-11-Frame"/>
      <w:bookmarkEnd w:id="44"/>
      <w:bookmarkEnd w:id="45"/>
      <w:bookmarkEnd w:id="46"/>
      <w:bookmarkEnd w:id="47"/>
      <w:r>
        <w:rPr>
          <w:b w:val="0"/>
          <w:i/>
          <w:iCs/>
          <w:szCs w:val="28"/>
        </w:rPr>
        <w:t>x</w:t>
      </w:r>
      <w:r>
        <w:rPr>
          <w:b w:val="0"/>
          <w:szCs w:val="28"/>
        </w:rPr>
        <w:t xml:space="preserve"> из </w:t>
      </w:r>
      <w:bookmarkStart w:id="48" w:name="MathJax-Element-12-Frame"/>
      <w:bookmarkStart w:id="49" w:name="MJXc-Node-100"/>
      <w:bookmarkStart w:id="50" w:name="MJXc-Node-102"/>
      <w:bookmarkStart w:id="51" w:name="MJXc-Node-101"/>
      <w:bookmarkEnd w:id="48"/>
      <w:bookmarkEnd w:id="49"/>
      <w:bookmarkEnd w:id="50"/>
      <w:bookmarkEnd w:id="51"/>
      <w:r>
        <w:rPr>
          <w:b w:val="0"/>
          <w:szCs w:val="28"/>
        </w:rPr>
        <w:t xml:space="preserve">F справедливо </w:t>
      </w:r>
      <w:bookmarkStart w:id="52" w:name="MJXc-Node-106"/>
      <w:bookmarkStart w:id="53" w:name="MJXc-Node-103"/>
      <w:bookmarkStart w:id="54" w:name="MJXc-Node-105"/>
      <w:bookmarkStart w:id="55" w:name="MJXc-Node-104"/>
      <w:bookmarkStart w:id="56" w:name="MathJax-Element-13-Frame"/>
      <w:bookmarkEnd w:id="52"/>
      <w:bookmarkEnd w:id="53"/>
      <w:bookmarkEnd w:id="54"/>
      <w:bookmarkEnd w:id="55"/>
      <w:bookmarkEnd w:id="56"/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b w:val="0"/>
          <w:szCs w:val="28"/>
        </w:rPr>
        <w:t xml:space="preserve">, то система </w:t>
      </w:r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 называется нормализованной. Целое число </w:t>
      </w:r>
      <w:bookmarkStart w:id="57" w:name="MathJax-Element-15-Frame"/>
      <w:bookmarkStart w:id="58" w:name="MJXc-Node-114"/>
      <w:bookmarkStart w:id="59" w:name="MJXc-Node-113"/>
      <w:bookmarkStart w:id="60" w:name="MJXc-Node-115"/>
      <w:bookmarkEnd w:id="57"/>
      <w:bookmarkEnd w:id="58"/>
      <w:bookmarkEnd w:id="59"/>
      <w:bookmarkEnd w:id="60"/>
      <w:r>
        <w:rPr>
          <w:b w:val="0"/>
          <w:i/>
          <w:iCs/>
          <w:szCs w:val="28"/>
        </w:rPr>
        <w:t>n</w:t>
      </w:r>
      <w:r>
        <w:rPr>
          <w:b w:val="0"/>
          <w:szCs w:val="28"/>
        </w:rPr>
        <w:t xml:space="preserve"> называется показателем, а число</w:t>
      </w:r>
      <m:oMath>
        <m:r>
          <w:rPr>
            <w:rFonts w:ascii="Cambria Math" w:hAnsi="Cambria Math"/>
          </w:rPr>
          <m:t>f=</m:t>
        </m:r>
        <m:f>
          <m:fPr>
            <m:type m:val="lin"/>
            <m:ctrlPr>
              <w:rPr>
                <w:rFonts w:ascii="Cambria Math" w:hAnsi="Cambria Math"/>
                <w:b w:val="0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b w:val="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b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>
        <w:rPr>
          <w:b w:val="0"/>
          <w:szCs w:val="28"/>
        </w:rPr>
        <w:t xml:space="preserve">– дробной частью. Обычно целое число </w:t>
      </w:r>
      <w:bookmarkStart w:id="61" w:name="MJXc-Node-139"/>
      <w:bookmarkStart w:id="62" w:name="MJXc-Node-140"/>
      <w:bookmarkStart w:id="63" w:name="MJXc-Node-138"/>
      <w:bookmarkStart w:id="64" w:name="MJXc-Node-137"/>
      <w:bookmarkStart w:id="65" w:name="MathJax-Element-17-Frame"/>
      <w:bookmarkEnd w:id="61"/>
      <w:bookmarkEnd w:id="62"/>
      <w:bookmarkEnd w:id="63"/>
      <w:bookmarkEnd w:id="64"/>
      <w:bookmarkEnd w:id="65"/>
      <m:oMath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b w:val="0"/>
          <w:szCs w:val="28"/>
        </w:rPr>
        <w:t xml:space="preserve"> хранится по той или иной схеме представления, принятой для целых чисел, например, величины со знаком, дополнения до единицы или дополнения до двух. Если принять </w:t>
      </w:r>
      <m:oMath>
        <m:r>
          <w:rPr>
            <w:rFonts w:ascii="Cambria Math" w:hAnsi="Cambria Math"/>
          </w:rPr>
          <m:t>-N≤n&lt;N</m:t>
        </m:r>
      </m:oMath>
      <w:r>
        <w:rPr>
          <w:b w:val="0"/>
          <w:szCs w:val="28"/>
        </w:rPr>
        <w:t xml:space="preserve">, где </w:t>
      </w:r>
      <w:bookmarkStart w:id="66" w:name="MJXc-Node-150"/>
      <w:bookmarkStart w:id="67" w:name="MathJax-Element-19-Frame"/>
      <w:bookmarkStart w:id="68" w:name="MJXc-Node-151"/>
      <w:bookmarkStart w:id="69" w:name="MJXc-Node-152"/>
      <w:bookmarkEnd w:id="66"/>
      <w:bookmarkEnd w:id="67"/>
      <w:bookmarkEnd w:id="68"/>
      <w:bookmarkEnd w:id="69"/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>
        <w:rPr>
          <w:b w:val="0"/>
          <w:szCs w:val="28"/>
        </w:rPr>
        <w:t xml:space="preserve"> то переходим к общепринятой терминологии, при которой </w:t>
      </w:r>
      <w:bookmarkStart w:id="70" w:name="MJXc-Node-161"/>
      <w:bookmarkStart w:id="71" w:name="MathJax-Element-20-Frame"/>
      <w:bookmarkStart w:id="72" w:name="MJXc-Node-163"/>
      <w:bookmarkStart w:id="73" w:name="MJXc-Node-162"/>
      <w:bookmarkEnd w:id="70"/>
      <w:bookmarkEnd w:id="71"/>
      <w:bookmarkEnd w:id="72"/>
      <w:bookmarkEnd w:id="73"/>
      <w:r>
        <w:rPr>
          <w:b w:val="0"/>
          <w:i/>
          <w:iCs/>
          <w:szCs w:val="28"/>
        </w:rPr>
        <w:t>t</w:t>
      </w:r>
      <w:r>
        <w:rPr>
          <w:b w:val="0"/>
          <w:szCs w:val="28"/>
        </w:rPr>
        <w:t xml:space="preserve"> – разрядность мантиссы, </w:t>
      </w:r>
      <w:bookmarkStart w:id="74" w:name="MJXc-Node-164"/>
      <w:bookmarkStart w:id="75" w:name="MJXc-Node-166"/>
      <w:bookmarkStart w:id="76" w:name="MJXc-Node-165"/>
      <w:bookmarkStart w:id="77" w:name="MathJax-Element-21-Frame"/>
      <w:bookmarkEnd w:id="74"/>
      <w:bookmarkEnd w:id="75"/>
      <w:bookmarkEnd w:id="76"/>
      <w:bookmarkEnd w:id="77"/>
      <w:r>
        <w:rPr>
          <w:b w:val="0"/>
          <w:i/>
          <w:iCs/>
          <w:szCs w:val="28"/>
        </w:rPr>
        <w:t>m</w:t>
      </w:r>
      <w:r>
        <w:rPr>
          <w:b w:val="0"/>
          <w:szCs w:val="28"/>
        </w:rPr>
        <w:t xml:space="preserve"> – разрядность порядка. 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Величина </w:t>
      </w:r>
      <m:oMath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  <w:bookmarkStart w:id="78" w:name="MJXc-Node-168"/>
      <w:bookmarkStart w:id="79" w:name="MathJax-Element-22-Frame"/>
      <w:bookmarkStart w:id="80" w:name="MJXc-Node-169"/>
      <w:bookmarkStart w:id="81" w:name="MJXc-Node-170"/>
      <w:bookmarkStart w:id="82" w:name="MJXc-Node-167"/>
      <w:bookmarkEnd w:id="78"/>
      <w:bookmarkEnd w:id="79"/>
      <w:bookmarkEnd w:id="80"/>
      <w:bookmarkEnd w:id="81"/>
      <w:bookmarkEnd w:id="82"/>
      <w:r>
        <w:rPr>
          <w:b w:val="0"/>
          <w:szCs w:val="28"/>
        </w:rPr>
        <w:t xml:space="preserve">является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</w:t>
      </w:r>
      <w:bookmarkStart w:id="83" w:name="MJXc-Node-177"/>
      <w:bookmarkStart w:id="84" w:name="MathJax-Element-23-Frame"/>
      <w:bookmarkStart w:id="85" w:name="MJXc-Node-178"/>
      <w:bookmarkStart w:id="86" w:name="MJXc-Node-176"/>
      <w:bookmarkEnd w:id="83"/>
      <w:bookmarkEnd w:id="84"/>
      <w:bookmarkEnd w:id="85"/>
      <w:bookmarkEnd w:id="86"/>
      <w:r>
        <w:rPr>
          <w:b w:val="0"/>
          <w:i/>
          <w:iCs/>
          <w:szCs w:val="28"/>
        </w:rPr>
        <w:t>ε</w:t>
      </w:r>
      <w:r>
        <w:rPr>
          <w:b w:val="0"/>
          <w:szCs w:val="28"/>
        </w:rPr>
        <w:t xml:space="preserve">, такого, что </w:t>
      </w:r>
      <w:bookmarkStart w:id="87" w:name="MJXc-Node-179"/>
      <w:bookmarkStart w:id="88" w:name="MJXc-Node-180"/>
      <w:bookmarkStart w:id="89" w:name="MJXc-Node-181"/>
      <w:bookmarkStart w:id="90" w:name="MathJax-Element-24-Frame"/>
      <w:bookmarkEnd w:id="87"/>
      <w:bookmarkEnd w:id="88"/>
      <w:bookmarkEnd w:id="89"/>
      <w:bookmarkEnd w:id="90"/>
      <m:oMath>
        <m:r>
          <w:rPr>
            <w:rFonts w:ascii="Cambria Math" w:hAnsi="Cambria Math"/>
          </w:rPr>
          <m:t>1+ε&gt;1</m:t>
        </m:r>
      </m:oMath>
      <w:r>
        <w:rPr>
          <w:b w:val="0"/>
          <w:szCs w:val="28"/>
        </w:rPr>
        <w:t xml:space="preserve">. Точное значение машинного эпсилон зависит не только то указанных выше параметров, но и от принятого </w:t>
      </w:r>
      <w:r>
        <w:rPr>
          <w:b w:val="0"/>
          <w:szCs w:val="28"/>
        </w:rPr>
        <w:lastRenderedPageBreak/>
        <w:t xml:space="preserve">способа округления. 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 Рассматриваемое множество </w:t>
      </w:r>
      <w:bookmarkStart w:id="91" w:name="MJXc-Node-188"/>
      <w:bookmarkStart w:id="92" w:name="MathJax-Element-25-Frame"/>
      <w:bookmarkStart w:id="93" w:name="MJXc-Node-186"/>
      <w:bookmarkStart w:id="94" w:name="MJXc-Node-187"/>
      <w:bookmarkEnd w:id="91"/>
      <w:bookmarkEnd w:id="92"/>
      <w:bookmarkEnd w:id="93"/>
      <w:bookmarkEnd w:id="94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 не является континуумом или даже бесконечным множеством. Оно содержит ровно</w:t>
      </w:r>
      <w:bookmarkStart w:id="95" w:name="MathJax-Element-26-Frame"/>
      <w:bookmarkStart w:id="96" w:name="MJXc-Node-189"/>
      <w:bookmarkStart w:id="97" w:name="MJXc-Node-191"/>
      <w:bookmarkStart w:id="98" w:name="MJXc-Node-190"/>
      <w:bookmarkEnd w:id="95"/>
      <w:bookmarkEnd w:id="96"/>
      <w:bookmarkEnd w:id="97"/>
      <w:bookmarkEnd w:id="98"/>
      <w:r w:rsidR="00AD36DC">
        <w:rPr>
          <w:b w:val="0"/>
          <w:szCs w:val="28"/>
        </w:rP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w:rPr>
                <w:rFonts w:ascii="Cambria Math" w:hAnsi="Cambria Math"/>
              </w:rPr>
              <m:t>b-1</m:t>
            </m:r>
          </m:e>
        </m:d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w:rPr>
                <w:rFonts w:ascii="Cambria Math" w:hAnsi="Cambria Math"/>
              </w:rPr>
              <m:t>M-L+1</m:t>
            </m:r>
          </m:e>
        </m:d>
        <m:r>
          <w:rPr>
            <w:rFonts w:ascii="Cambria Math" w:hAnsi="Cambria Math"/>
          </w:rPr>
          <m:t>+1</m:t>
        </m:r>
      </m:oMath>
      <w:r w:rsidR="00AD36DC" w:rsidRPr="00E60AE6">
        <w:rPr>
          <w:b w:val="0"/>
        </w:rPr>
        <w:t xml:space="preserve"> </w:t>
      </w:r>
      <w:r>
        <w:rPr>
          <w:b w:val="0"/>
          <w:szCs w:val="28"/>
        </w:rPr>
        <w:t xml:space="preserve">чисел, которые расположены неравномерно (равномерность расположения имеет место лишь при фиксированном показателе). В силу того, что </w:t>
      </w:r>
      <w:bookmarkStart w:id="99" w:name="MJXc-Node-211"/>
      <w:bookmarkStart w:id="100" w:name="MJXc-Node-210"/>
      <w:bookmarkStart w:id="101" w:name="MathJax-Element-27-Frame"/>
      <w:bookmarkStart w:id="102" w:name="MJXc-Node-209"/>
      <w:bookmarkEnd w:id="99"/>
      <w:bookmarkEnd w:id="100"/>
      <w:bookmarkEnd w:id="101"/>
      <w:bookmarkEnd w:id="102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 – конечное множество, не представляется возможным сколь-нибудь детально отобразить континуум действительных чисел. Например, действительные числа модулей, большим максимального элемента из </w:t>
      </w:r>
      <w:bookmarkStart w:id="103" w:name="MJXc-Node-213"/>
      <w:bookmarkStart w:id="104" w:name="MJXc-Node-212"/>
      <w:bookmarkStart w:id="105" w:name="MJXc-Node-214"/>
      <w:bookmarkStart w:id="106" w:name="MathJax-Element-28-Frame"/>
      <w:bookmarkEnd w:id="103"/>
      <w:bookmarkEnd w:id="104"/>
      <w:bookmarkEnd w:id="105"/>
      <w:bookmarkEnd w:id="106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, вообще не могут быть отображены, причем последнее справедливо также в отношении ненулевых действительных чисел, меньших по абсолютной величине по сравнению с наименьшим положительным числом из </w:t>
      </w:r>
      <w:bookmarkStart w:id="107" w:name="MathJax-Element-29-Frame"/>
      <w:bookmarkStart w:id="108" w:name="MJXc-Node-215"/>
      <w:bookmarkStart w:id="109" w:name="MJXc-Node-217"/>
      <w:bookmarkStart w:id="110" w:name="MJXc-Node-216"/>
      <w:bookmarkEnd w:id="107"/>
      <w:bookmarkEnd w:id="108"/>
      <w:bookmarkEnd w:id="109"/>
      <w:bookmarkEnd w:id="110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, и, наконец, каждое число из </w:t>
      </w:r>
      <w:bookmarkStart w:id="111" w:name="MJXc-Node-218"/>
      <w:bookmarkStart w:id="112" w:name="MJXc-Node-220"/>
      <w:bookmarkStart w:id="113" w:name="MJXc-Node-219"/>
      <w:bookmarkStart w:id="114" w:name="MathJax-Element-30-Frame"/>
      <w:bookmarkEnd w:id="111"/>
      <w:bookmarkEnd w:id="112"/>
      <w:bookmarkEnd w:id="113"/>
      <w:bookmarkEnd w:id="114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 должно представлять целый интервал действительных чисел, для которой, как и для любой модели, присущи допущения и ограничения. На множестве </w:t>
      </w:r>
      <w:bookmarkStart w:id="115" w:name="MJXc-Node-221"/>
      <w:bookmarkStart w:id="116" w:name="MathJax-Element-31-Frame"/>
      <w:bookmarkStart w:id="117" w:name="MJXc-Node-222"/>
      <w:bookmarkStart w:id="118" w:name="MJXc-Node-223"/>
      <w:bookmarkEnd w:id="115"/>
      <w:bookmarkEnd w:id="116"/>
      <w:bookmarkEnd w:id="117"/>
      <w:bookmarkEnd w:id="118"/>
      <w:r>
        <w:rPr>
          <w:b w:val="0"/>
          <w:i/>
          <w:iCs/>
          <w:szCs w:val="28"/>
        </w:rPr>
        <w:t>F</w:t>
      </w:r>
      <w:r>
        <w:rPr>
          <w:b w:val="0"/>
          <w:szCs w:val="28"/>
        </w:rPr>
        <w:t xml:space="preserve">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 </w:t>
      </w:r>
    </w:p>
    <w:p w:rsidR="007105B9" w:rsidRDefault="00E544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105B9" w:rsidRDefault="00E5440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Используя готовые программы, выполнить исследования машинной арифметики и точности вычислений на ПЭВМ. Программы для удобства </w:t>
      </w:r>
      <w:r>
        <w:rPr>
          <w:sz w:val="28"/>
          <w:szCs w:val="28"/>
        </w:rPr>
        <w:lastRenderedPageBreak/>
        <w:t xml:space="preserve">пользователя объединены в одном исполняемом модуле </w:t>
      </w:r>
      <w:r>
        <w:rPr>
          <w:rStyle w:val="ad"/>
          <w:sz w:val="28"/>
          <w:szCs w:val="28"/>
        </w:rPr>
        <w:t>LAB1.EXE</w:t>
      </w:r>
      <w:r>
        <w:rPr>
          <w:sz w:val="28"/>
          <w:szCs w:val="28"/>
        </w:rPr>
        <w:t>. Порядок выполнения работы следующий:</w:t>
      </w:r>
    </w:p>
    <w:p w:rsidR="007105B9" w:rsidRDefault="00E54408">
      <w:pPr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Исследовать распределение нормализованных чисел с плавающей точкой на вещественной оси для различных значений параметров </w:t>
      </w:r>
      <w:bookmarkStart w:id="119" w:name="MathJax-Element-32-Frame"/>
      <w:bookmarkStart w:id="120" w:name="MJXc-Node-226"/>
      <w:bookmarkStart w:id="121" w:name="MJXc-Node-224"/>
      <w:bookmarkStart w:id="122" w:name="MJXc-Node-225"/>
      <w:bookmarkEnd w:id="119"/>
      <w:bookmarkEnd w:id="120"/>
      <w:bookmarkEnd w:id="121"/>
      <w:bookmarkEnd w:id="122"/>
      <m:oMath>
        <m:r>
          <w:rPr>
            <w:rFonts w:ascii="Cambria Math" w:hAnsi="Cambria Math"/>
            <w:sz w:val="28"/>
            <w:szCs w:val="28"/>
          </w:rPr>
          <m:t>b, t, m</m:t>
        </m:r>
      </m:oMath>
      <w:r>
        <w:rPr>
          <w:sz w:val="28"/>
          <w:szCs w:val="28"/>
        </w:rPr>
        <w:t xml:space="preserve"> (из-за ограниченности ресурсов ПЭВМ не рекомендуется задавать большие значения параметров: </w:t>
      </w:r>
      <w:bookmarkStart w:id="123" w:name="MJXc-Node-235"/>
      <w:bookmarkStart w:id="124" w:name="MathJax-Element-35-Frame"/>
      <w:bookmarkStart w:id="125" w:name="MJXc-Node-234"/>
      <w:bookmarkStart w:id="126" w:name="MJXc-Node-233"/>
      <w:bookmarkEnd w:id="123"/>
      <w:bookmarkEnd w:id="124"/>
      <w:bookmarkEnd w:id="125"/>
      <w:bookmarkEnd w:id="126"/>
      <m:oMath>
        <m:r>
          <w:rPr>
            <w:rFonts w:ascii="Cambria Math" w:hAnsi="Cambria Math"/>
          </w:rPr>
          <m:t>b=2,t≤7,m≤4</m:t>
        </m:r>
      </m:oMath>
      <w:r>
        <w:rPr>
          <w:sz w:val="28"/>
          <w:szCs w:val="28"/>
        </w:rPr>
        <w:t>).</w:t>
      </w:r>
    </w:p>
    <w:p w:rsidR="007105B9" w:rsidRDefault="00E54408">
      <w:pPr>
        <w:pStyle w:val="ae"/>
        <w:numPr>
          <w:ilvl w:val="0"/>
          <w:numId w:val="1"/>
        </w:numPr>
        <w:spacing w:line="360" w:lineRule="auto"/>
        <w:jc w:val="both"/>
      </w:pPr>
      <w:r>
        <w:rPr>
          <w:b w:val="0"/>
          <w:szCs w:val="28"/>
        </w:rPr>
        <w:t xml:space="preserve">Вычислить значения величины машинного эпсилон </w:t>
      </w:r>
      <w:bookmarkStart w:id="127" w:name="MJXc-Node-250"/>
      <w:bookmarkStart w:id="128" w:name="MathJax-Element-38-Frame"/>
      <w:bookmarkStart w:id="129" w:name="MJXc-Node-248"/>
      <w:bookmarkStart w:id="130" w:name="MJXc-Node-249"/>
      <w:bookmarkEnd w:id="127"/>
      <w:bookmarkEnd w:id="128"/>
      <w:bookmarkEnd w:id="129"/>
      <w:bookmarkEnd w:id="130"/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  <w:bookmarkStart w:id="131" w:name="MJXc-Node-251"/>
        <w:bookmarkEnd w:id="131"/>
        <m:r>
          <m:rPr>
            <m:sty m:val="bi"/>
          </m:rPr>
          <w:rPr>
            <w:rFonts w:ascii="Cambria Math" w:hAnsi="Cambria Math"/>
            <w:szCs w:val="28"/>
          </w:rPr>
          <m:t>(</m:t>
        </m:r>
        <w:bookmarkStart w:id="132" w:name="MJXc-Node-252"/>
        <w:bookmarkEnd w:id="132"/>
        <m:r>
          <m:rPr>
            <m:sty m:val="bi"/>
          </m:rPr>
          <w:rPr>
            <w:rFonts w:ascii="Cambria Math" w:hAnsi="Cambria Math"/>
            <w:szCs w:val="28"/>
          </w:rPr>
          <m:t>c</m:t>
        </m:r>
        <w:bookmarkStart w:id="133" w:name="MJXc-Node-253"/>
        <w:bookmarkEnd w:id="133"/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>
        <w:rPr>
          <w:b w:val="0"/>
          <w:szCs w:val="28"/>
        </w:rPr>
        <w:t xml:space="preserve"> для различных значений константы </w:t>
      </w:r>
      <w:bookmarkStart w:id="134" w:name="MJXc-Node-256"/>
      <w:bookmarkStart w:id="135" w:name="MJXc-Node-255"/>
      <w:bookmarkStart w:id="136" w:name="MJXc-Node-254"/>
      <w:bookmarkStart w:id="137" w:name="MathJax-Element-39-Frame"/>
      <w:bookmarkEnd w:id="134"/>
      <w:bookmarkEnd w:id="135"/>
      <w:bookmarkEnd w:id="136"/>
      <w:bookmarkEnd w:id="137"/>
      <w:r>
        <w:rPr>
          <w:b w:val="0"/>
          <w:i/>
          <w:iCs/>
          <w:szCs w:val="28"/>
        </w:rPr>
        <w:t>c</w:t>
      </w:r>
      <w:r>
        <w:rPr>
          <w:b w:val="0"/>
          <w:szCs w:val="28"/>
        </w:rPr>
        <w:t>, меняющихся от 0 до 2</w:t>
      </w:r>
      <w:r>
        <w:rPr>
          <w:b w:val="0"/>
          <w:szCs w:val="28"/>
          <w:vertAlign w:val="superscript"/>
        </w:rPr>
        <w:t>15</w:t>
      </w:r>
      <w:r>
        <w:rPr>
          <w:b w:val="0"/>
          <w:szCs w:val="28"/>
        </w:rPr>
        <w:t>, построить график этой зависимости и объяснить полученные результаты.</w:t>
      </w:r>
    </w:p>
    <w:p w:rsidR="007105B9" w:rsidRDefault="00E54408">
      <w:pPr>
        <w:pStyle w:val="ae"/>
        <w:numPr>
          <w:ilvl w:val="0"/>
          <w:numId w:val="1"/>
        </w:numPr>
        <w:spacing w:line="360" w:lineRule="auto"/>
        <w:jc w:val="both"/>
      </w:pPr>
      <w:bookmarkStart w:id="138" w:name="__DdeLink__618_1358776190"/>
      <w:r>
        <w:rPr>
          <w:b w:val="0"/>
          <w:szCs w:val="28"/>
        </w:rPr>
        <w:t>Исследовать абсолютные и относительные ошибки округления при вычислениях с плавающей точкой сумм чисел (</w:t>
      </w:r>
      <w:bookmarkStart w:id="139" w:name="MJXc-Node-259"/>
      <w:bookmarkStart w:id="140" w:name="MJXc-Node-258"/>
      <w:bookmarkStart w:id="141" w:name="MJXc-Node-257"/>
      <w:bookmarkStart w:id="142" w:name="MathJax-Element-40-Frame"/>
      <w:bookmarkEnd w:id="139"/>
      <w:bookmarkEnd w:id="140"/>
      <w:bookmarkEnd w:id="141"/>
      <w:bookmarkEnd w:id="142"/>
      <w:r>
        <w:rPr>
          <w:b w:val="0"/>
          <w:i/>
          <w:iCs/>
          <w:szCs w:val="28"/>
        </w:rPr>
        <w:t>N</w:t>
      </w:r>
      <w:r>
        <w:rPr>
          <w:b w:val="0"/>
          <w:szCs w:val="28"/>
        </w:rPr>
        <w:t xml:space="preserve"> чисел вида </w:t>
      </w:r>
      <w:bookmarkStart w:id="143" w:name="MJXc-Node-260"/>
      <w:bookmarkStart w:id="144" w:name="MJXc-Node-261"/>
      <w:bookmarkStart w:id="145" w:name="MJXc-Node-262"/>
      <w:bookmarkStart w:id="146" w:name="MathJax-Element-41-Frame"/>
      <w:bookmarkEnd w:id="143"/>
      <w:bookmarkEnd w:id="144"/>
      <w:bookmarkEnd w:id="145"/>
      <w:bookmarkEnd w:id="146"/>
      <w:r>
        <w:rPr>
          <w:b w:val="0"/>
          <w:szCs w:val="28"/>
        </w:rPr>
        <w:t>1</w:t>
      </w:r>
      <w:bookmarkStart w:id="147" w:name="MJXc-Node-264"/>
      <w:bookmarkStart w:id="148" w:name="MJXc-Node-265"/>
      <w:bookmarkStart w:id="149" w:name="MJXc-Node-263"/>
      <w:bookmarkEnd w:id="147"/>
      <w:bookmarkEnd w:id="148"/>
      <w:bookmarkEnd w:id="149"/>
      <w:r>
        <w:rPr>
          <w:b w:val="0"/>
          <w:szCs w:val="28"/>
        </w:rPr>
        <w:t>/</w:t>
      </w:r>
      <w:bookmarkStart w:id="150" w:name="MJXc-Node-266"/>
      <w:bookmarkEnd w:id="150"/>
      <w:r>
        <w:rPr>
          <w:b w:val="0"/>
          <w:i/>
          <w:iCs/>
          <w:szCs w:val="28"/>
        </w:rPr>
        <w:t>N</w:t>
      </w:r>
      <w:r>
        <w:rPr>
          <w:b w:val="0"/>
          <w:szCs w:val="28"/>
        </w:rPr>
        <w:t>) при различных значениях шага суммирования. Объяснить полученные результаты.</w:t>
      </w:r>
      <w:bookmarkEnd w:id="138"/>
    </w:p>
    <w:p w:rsidR="007105B9" w:rsidRDefault="00E54408">
      <w:pPr>
        <w:pStyle w:val="ae"/>
        <w:numPr>
          <w:ilvl w:val="0"/>
          <w:numId w:val="1"/>
        </w:numPr>
        <w:spacing w:line="360" w:lineRule="auto"/>
        <w:jc w:val="both"/>
      </w:pPr>
      <w:r>
        <w:rPr>
          <w:b w:val="0"/>
          <w:szCs w:val="28"/>
        </w:rPr>
        <w:t xml:space="preserve">Исследовать проявления ошибок округления, возникающих при вычислении показательной функции </w:t>
      </w:r>
      <m:oMath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bookmarkStart w:id="151" w:name="MJXc-Node-269"/>
      <w:bookmarkStart w:id="152" w:name="MJXc-Node-268"/>
      <w:bookmarkStart w:id="153" w:name="MJXc-Node-267"/>
      <w:bookmarkStart w:id="154" w:name="MathJax-Element-42-Frame"/>
      <w:bookmarkStart w:id="155" w:name="MJXc-Node-270"/>
      <w:bookmarkEnd w:id="151"/>
      <w:bookmarkEnd w:id="152"/>
      <w:bookmarkEnd w:id="153"/>
      <w:bookmarkEnd w:id="154"/>
      <w:bookmarkEnd w:id="155"/>
      <w:r>
        <w:rPr>
          <w:b w:val="0"/>
          <w:szCs w:val="28"/>
        </w:rPr>
        <w:t xml:space="preserve"> для чисел с плавающей точкой для двух вариантов алгоритма вычислений, а также скорость сходимости обоих вариантов.</w:t>
      </w:r>
    </w:p>
    <w:p w:rsidR="007105B9" w:rsidRDefault="007105B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105B9" w:rsidRDefault="00E544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7105B9" w:rsidRDefault="00E54408">
      <w:pPr>
        <w:spacing w:line="360" w:lineRule="auto"/>
        <w:ind w:firstLine="709"/>
        <w:jc w:val="both"/>
      </w:pPr>
      <w:r>
        <w:rPr>
          <w:sz w:val="28"/>
          <w:szCs w:val="28"/>
        </w:rPr>
        <w:t>Результаты измерений по заданию 1 представлены в табл.1</w:t>
      </w:r>
    </w:p>
    <w:p w:rsidR="007105B9" w:rsidRDefault="00E54408" w:rsidP="00E60AE6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Таблица 1 — распределение чисел с плавающей точкой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5"/>
        <w:gridCol w:w="2403"/>
      </w:tblGrid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= 2; </w:t>
            </w:r>
            <w:r>
              <w:rPr>
                <w:i/>
                <w:i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= 3; </w:t>
            </w:r>
            <w:r>
              <w:rPr>
                <w:i/>
                <w:iCs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= 2; </w:t>
            </w:r>
            <w:r>
              <w:rPr>
                <w:i/>
                <w:i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= 2;</w:t>
            </w:r>
            <w:r>
              <w:rPr>
                <w:i/>
                <w:iCs/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= 2; </w:t>
            </w:r>
            <w:r>
              <w:rPr>
                <w:i/>
                <w:i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= 2;</w:t>
            </w:r>
            <w:r>
              <w:rPr>
                <w:i/>
                <w:iCs/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 xml:space="preserve"> = 1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x[0]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0.003906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0.062500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0.250000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x[2]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0.004883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0.93750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0.375000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x[3]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0.005859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0.125000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0.500000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x[4]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0.006836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0.187500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0.750000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x[5]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0.007812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1.000000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x[6]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0.009766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0.375000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1.500000</w:t>
            </w:r>
          </w:p>
        </w:tc>
      </w:tr>
    </w:tbl>
    <w:p w:rsidR="007105B9" w:rsidRDefault="007105B9">
      <w:pPr>
        <w:spacing w:line="360" w:lineRule="auto"/>
        <w:ind w:firstLine="709"/>
        <w:jc w:val="both"/>
        <w:rPr>
          <w:sz w:val="28"/>
          <w:szCs w:val="28"/>
        </w:rPr>
      </w:pPr>
    </w:p>
    <w:p w:rsidR="007105B9" w:rsidRDefault="00E60AE6" w:rsidP="00E60AE6">
      <w:pPr>
        <w:spacing w:before="120" w:after="12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E54408">
        <w:rPr>
          <w:sz w:val="28"/>
          <w:szCs w:val="28"/>
        </w:rPr>
        <w:t>родолжение</w:t>
      </w:r>
      <w:r>
        <w:rPr>
          <w:sz w:val="28"/>
          <w:szCs w:val="28"/>
        </w:rPr>
        <w:t xml:space="preserve"> таблицы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5"/>
        <w:gridCol w:w="2403"/>
      </w:tblGrid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x[7]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0.011719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x[8]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0.013672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x[9]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0.015625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x[10]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0.019531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x[11]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0.023437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x[12]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0.027344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rPr>
          <w:trHeight w:val="432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x[13]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0.031250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rPr>
          <w:trHeight w:val="432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x[14]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0.039062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rPr>
          <w:trHeight w:val="432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x[15]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0.046875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5B9">
        <w:trPr>
          <w:trHeight w:val="432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x[16]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0.054687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7105B9" w:rsidRDefault="007105B9">
      <w:pPr>
        <w:spacing w:line="360" w:lineRule="auto"/>
        <w:jc w:val="both"/>
        <w:rPr>
          <w:sz w:val="28"/>
          <w:szCs w:val="28"/>
        </w:rPr>
      </w:pPr>
    </w:p>
    <w:p w:rsidR="007105B9" w:rsidRDefault="00E54408" w:rsidP="00E60AE6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измерений по заданию 2 представлены в Табл.2 и на Рис.1</w:t>
      </w:r>
    </w:p>
    <w:p w:rsidR="007105B9" w:rsidRDefault="00E54408" w:rsidP="00E60AE6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 — Значения </w:t>
      </w:r>
      <w:r>
        <w:rPr>
          <w:i/>
          <w:iCs/>
          <w:sz w:val="28"/>
          <w:szCs w:val="28"/>
        </w:rPr>
        <w:t>ε</w:t>
      </w:r>
      <w:r>
        <w:rPr>
          <w:sz w:val="28"/>
          <w:szCs w:val="28"/>
        </w:rPr>
        <w:t xml:space="preserve"> для различных констант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2D7408" w:rsidRDefault="002D7408" w:rsidP="002D7408">
            <w:pPr>
              <w:pStyle w:val="TableContents"/>
              <w:jc w:val="center"/>
              <w:rPr>
                <w:lang w:val="de-DE"/>
              </w:rPr>
            </w:pPr>
            <w:r>
              <w:rPr>
                <w:sz w:val="28"/>
                <w:szCs w:val="28"/>
              </w:rPr>
              <w:t>Значение</w:t>
            </w:r>
            <w:r w:rsidR="00E54408"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lang w:val="de-DE"/>
              </w:rPr>
              <w:t>c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З</w:t>
            </w:r>
            <w:r w:rsidR="002D7408">
              <w:rPr>
                <w:sz w:val="28"/>
                <w:szCs w:val="28"/>
              </w:rPr>
              <w:t>начение</w:t>
            </w:r>
            <w:r>
              <w:rPr>
                <w:sz w:val="28"/>
                <w:szCs w:val="28"/>
              </w:rPr>
              <w:t xml:space="preserve"> </w:t>
            </w:r>
            <w:r>
              <w:t>ε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5.551E-17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1.1102E-16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2.2204E-16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4.4408E-16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8.8817E-16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jc w:val="center"/>
            </w:pPr>
            <w:r>
              <w:t>1.77635E-15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256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5.68E-14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1.14E-13</w:t>
            </w:r>
          </w:p>
        </w:tc>
      </w:tr>
      <w:tr w:rsidR="007105B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10000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</w:pPr>
            <w:r>
              <w:t>1.82E-12</w:t>
            </w:r>
          </w:p>
        </w:tc>
      </w:tr>
    </w:tbl>
    <w:p w:rsidR="00935AC3" w:rsidRDefault="00935AC3" w:rsidP="00935AC3">
      <w:pPr>
        <w:spacing w:line="360" w:lineRule="auto"/>
        <w:jc w:val="both"/>
      </w:pPr>
    </w:p>
    <w:p w:rsidR="00935AC3" w:rsidRDefault="00935AC3" w:rsidP="00935AC3">
      <w:pPr>
        <w:spacing w:before="120"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измерений по заданию 3 представлены в табл. 3</w:t>
      </w:r>
    </w:p>
    <w:p w:rsidR="00935AC3" w:rsidRDefault="00935AC3" w:rsidP="00935AC3">
      <w:pPr>
        <w:spacing w:line="360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Результаты измерен</w:t>
      </w:r>
      <w:r>
        <w:rPr>
          <w:sz w:val="28"/>
          <w:szCs w:val="28"/>
        </w:rPr>
        <w:t>ий по заданию 4 представлены в т</w:t>
      </w:r>
      <w:r>
        <w:rPr>
          <w:sz w:val="28"/>
          <w:szCs w:val="28"/>
        </w:rPr>
        <w:t>абл. 4</w:t>
      </w:r>
    </w:p>
    <w:p w:rsidR="00935AC3" w:rsidRDefault="00935AC3" w:rsidP="00935AC3">
      <w:pPr>
        <w:spacing w:before="120" w:line="360" w:lineRule="auto"/>
        <w:ind w:firstLine="408"/>
        <w:jc w:val="both"/>
        <w:rPr>
          <w:sz w:val="28"/>
          <w:szCs w:val="28"/>
        </w:rPr>
      </w:pPr>
    </w:p>
    <w:p w:rsidR="007105B9" w:rsidRDefault="007105B9">
      <w:pPr>
        <w:spacing w:line="360" w:lineRule="auto"/>
        <w:ind w:firstLine="709"/>
        <w:jc w:val="both"/>
        <w:rPr>
          <w:sz w:val="28"/>
          <w:szCs w:val="28"/>
        </w:rPr>
      </w:pPr>
    </w:p>
    <w:p w:rsidR="007105B9" w:rsidRPr="00391CD0" w:rsidRDefault="00391CD0" w:rsidP="00391CD0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2013</wp:posOffset>
            </wp:positionH>
            <wp:positionV relativeFrom="paragraph">
              <wp:posOffset>-2492</wp:posOffset>
            </wp:positionV>
            <wp:extent cx="6096000" cy="41916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398" t="22159" r="25017" b="4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408">
        <w:rPr>
          <w:sz w:val="28"/>
          <w:szCs w:val="28"/>
        </w:rPr>
        <w:t>Рисунок 1 —  Значения ε для различных констант</w:t>
      </w:r>
    </w:p>
    <w:p w:rsidR="007105B9" w:rsidRDefault="00E54408" w:rsidP="00391CD0">
      <w:pPr>
        <w:spacing w:before="120" w:after="120" w:line="360" w:lineRule="auto"/>
        <w:jc w:val="both"/>
      </w:pPr>
      <w:bookmarkStart w:id="156" w:name="__DdeLink__1808_2348727259"/>
      <w:r>
        <w:rPr>
          <w:sz w:val="28"/>
          <w:szCs w:val="28"/>
        </w:rPr>
        <w:t>Таблица 3 —</w:t>
      </w:r>
      <w:bookmarkEnd w:id="156"/>
      <w:r>
        <w:rPr>
          <w:sz w:val="28"/>
          <w:szCs w:val="28"/>
        </w:rPr>
        <w:t xml:space="preserve"> Исследование ошибок округления при суммировании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105B9" w:rsidTr="00935A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Default="00935AC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Абсолютная погрешность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Default="00935AC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Относительная</w:t>
            </w:r>
            <w:r>
              <w:rPr>
                <w:sz w:val="28"/>
                <w:szCs w:val="28"/>
              </w:rPr>
              <w:t xml:space="preserve"> погрешность</w:t>
            </w:r>
            <w:r w:rsidR="00DA7155">
              <w:rPr>
                <w:sz w:val="28"/>
                <w:szCs w:val="28"/>
              </w:rPr>
              <w:t xml:space="preserve">, </w:t>
            </w:r>
            <w:r w:rsidR="00DA7155">
              <w:rPr>
                <w:sz w:val="28"/>
                <w:szCs w:val="28"/>
              </w:rPr>
              <w:t>%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  <w:bookmarkStart w:id="157" w:name="_GoBack"/>
            <w:bookmarkEnd w:id="157"/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5.22E-08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0.000005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5.22E-08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0.000005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  <w:r w:rsidR="00E54408">
              <w:rPr>
                <w:sz w:val="28"/>
                <w:szCs w:val="28"/>
              </w:rPr>
              <w:t xml:space="preserve"> 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 w:rsidP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 w:rsidP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4.75E-08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 w:rsidP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0.000005</w:t>
            </w:r>
          </w:p>
        </w:tc>
      </w:tr>
      <w:tr w:rsidR="00710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Default="00E5440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4.75E-08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Default="00DA7155" w:rsidP="00DA715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0.000005</w:t>
            </w:r>
            <w:r w:rsidR="00E54408">
              <w:rPr>
                <w:sz w:val="28"/>
                <w:szCs w:val="28"/>
              </w:rPr>
              <w:t xml:space="preserve"> </w:t>
            </w:r>
          </w:p>
        </w:tc>
      </w:tr>
    </w:tbl>
    <w:p w:rsidR="00935AC3" w:rsidRDefault="00935AC3">
      <w:pPr>
        <w:spacing w:line="360" w:lineRule="auto"/>
        <w:ind w:firstLine="720"/>
        <w:rPr>
          <w:b/>
          <w:sz w:val="28"/>
          <w:szCs w:val="28"/>
        </w:rPr>
      </w:pPr>
    </w:p>
    <w:p w:rsidR="007105B9" w:rsidRDefault="00935AC3" w:rsidP="00935AC3">
      <w:pPr>
        <w:overflowPunct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54408">
        <w:rPr>
          <w:b/>
          <w:sz w:val="28"/>
          <w:szCs w:val="28"/>
        </w:rPr>
        <w:lastRenderedPageBreak/>
        <w:t>Выводы.</w:t>
      </w:r>
    </w:p>
    <w:p w:rsidR="007105B9" w:rsidRDefault="00391CD0" w:rsidP="00935AC3">
      <w:pPr>
        <w:spacing w:line="360" w:lineRule="auto"/>
        <w:ind w:firstLine="709"/>
        <w:jc w:val="both"/>
        <w:rPr>
          <w:sz w:val="28"/>
          <w:szCs w:val="28"/>
        </w:rPr>
      </w:pPr>
      <w:r w:rsidRPr="00391CD0">
        <w:rPr>
          <w:sz w:val="28"/>
          <w:szCs w:val="28"/>
        </w:rPr>
        <w:t>В ходе работы были проведены эксперименты по работе с вещественными числами</w:t>
      </w:r>
      <w:r>
        <w:rPr>
          <w:sz w:val="28"/>
          <w:szCs w:val="28"/>
        </w:rPr>
        <w:t xml:space="preserve"> на ЭВМ. По результатам первого эксперимента можно сделать следующие выводы: д</w:t>
      </w:r>
      <w:r w:rsidR="00E54408">
        <w:rPr>
          <w:sz w:val="28"/>
          <w:szCs w:val="28"/>
        </w:rPr>
        <w:t>иапазон чисел прямо пропорционален разрядности порядка. Плотность распределения вещественных чисел по оси прямо пропорциональна разрядности мантисы и обратно пропорциональна величине числа.</w:t>
      </w:r>
    </w:p>
    <w:p w:rsidR="007105B9" w:rsidRDefault="00391CD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По результатам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эксперимента можно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сделать следующие выводы: </w:t>
      </w:r>
      <w:r>
        <w:rPr>
          <w:sz w:val="28"/>
          <w:szCs w:val="28"/>
        </w:rPr>
        <w:t>ф</w:t>
      </w:r>
      <w:r w:rsidR="00E54408">
        <w:rPr>
          <w:sz w:val="28"/>
          <w:szCs w:val="28"/>
        </w:rPr>
        <w:t xml:space="preserve">ункция вычисления экспоненты </w:t>
      </w:r>
      <w:r w:rsidR="00E54408" w:rsidRPr="00935AC3">
        <w:rPr>
          <w:i/>
          <w:sz w:val="28"/>
          <w:szCs w:val="28"/>
        </w:rPr>
        <w:t>ε</w:t>
      </w:r>
      <w:r w:rsidR="00E54408">
        <w:rPr>
          <w:sz w:val="28"/>
          <w:szCs w:val="28"/>
        </w:rPr>
        <w:t xml:space="preserve"> для константы </w:t>
      </w:r>
      <w:r w:rsidR="00E54408" w:rsidRPr="00935AC3">
        <w:rPr>
          <w:i/>
          <w:sz w:val="28"/>
          <w:szCs w:val="28"/>
        </w:rPr>
        <w:t>c</w:t>
      </w:r>
      <w:r w:rsidR="00E54408">
        <w:rPr>
          <w:sz w:val="28"/>
          <w:szCs w:val="28"/>
        </w:rPr>
        <w:t xml:space="preserve"> - </w:t>
      </w:r>
      <m:oMath>
        <m:r>
          <w:rPr>
            <w:rFonts w:ascii="Cambria Math" w:hAnsi="Cambria Math"/>
            <w:sz w:val="28"/>
            <w:szCs w:val="28"/>
          </w:rPr>
          <m:t>ε(c)</m:t>
        </m:r>
      </m:oMath>
      <w:r w:rsidR="00E54408">
        <w:rPr>
          <w:sz w:val="28"/>
          <w:szCs w:val="28"/>
        </w:rPr>
        <w:t xml:space="preserve">  близка к линейной, т. е. </w:t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n*c</m:t>
            </m:r>
          </m:e>
        </m:d>
        <m:r>
          <w:rPr>
            <w:rFonts w:ascii="Cambria Math" w:hAnsi="Cambria Math"/>
            <w:sz w:val="28"/>
            <w:szCs w:val="28"/>
          </w:rPr>
          <m:t>≈n*ε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</m:oMath>
    </w:p>
    <w:p w:rsidR="00935AC3" w:rsidRDefault="00391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</w:t>
      </w:r>
      <w:r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эксперимента</w:t>
      </w:r>
      <w:r>
        <w:rPr>
          <w:sz w:val="28"/>
          <w:szCs w:val="28"/>
        </w:rPr>
        <w:t xml:space="preserve"> видно, что а</w:t>
      </w:r>
      <w:r w:rsidR="00E54408">
        <w:rPr>
          <w:sz w:val="28"/>
          <w:szCs w:val="28"/>
        </w:rPr>
        <w:t>бсолютная и относительная ошибки суммирования не зависят от величины N, но от близости к числу, представляемому конечной суммой</w:t>
      </w:r>
      <w:r w:rsidR="00935AC3">
        <w:rPr>
          <w:sz w:val="28"/>
          <w:szCs w:val="28"/>
        </w:rPr>
        <w:t>:</w:t>
      </w:r>
    </w:p>
    <w:p w:rsidR="007105B9" w:rsidRPr="00935AC3" w:rsidRDefault="00E54408" w:rsidP="00935AC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x=±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+⋯+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935AC3">
        <w:rPr>
          <w:sz w:val="28"/>
          <w:szCs w:val="28"/>
        </w:rPr>
        <w:t>.</w:t>
      </w:r>
    </w:p>
    <w:p w:rsidR="007105B9" w:rsidRPr="00DC2C58" w:rsidRDefault="00935AC3" w:rsidP="00DC2C5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По результатам </w:t>
      </w:r>
      <w:r>
        <w:rPr>
          <w:sz w:val="28"/>
          <w:szCs w:val="28"/>
        </w:rPr>
        <w:t>четвертого</w:t>
      </w:r>
      <w:r>
        <w:rPr>
          <w:sz w:val="28"/>
          <w:szCs w:val="28"/>
        </w:rPr>
        <w:t xml:space="preserve"> эксперимента </w:t>
      </w:r>
      <w:r>
        <w:rPr>
          <w:sz w:val="28"/>
          <w:szCs w:val="28"/>
        </w:rPr>
        <w:t>можно сделать выводы</w:t>
      </w:r>
      <w:r>
        <w:rPr>
          <w:sz w:val="28"/>
          <w:szCs w:val="28"/>
        </w:rPr>
        <w:t>, что</w:t>
      </w:r>
      <w:r>
        <w:rPr>
          <w:sz w:val="28"/>
          <w:szCs w:val="28"/>
        </w:rPr>
        <w:t xml:space="preserve"> р</w:t>
      </w:r>
      <w:r w:rsidR="00E54408">
        <w:rPr>
          <w:sz w:val="28"/>
          <w:szCs w:val="28"/>
        </w:rPr>
        <w:t>ост точности и аргумента приводят к увеличению абсолютной погрешности, но очень медленному, по сравнению с ростом значения экспоненты, что видно по убыванию относительной погрешности. По работе алгоритмов видно, что улучшенный более эффективен т. к. работает за меньшее число итераций, на целы</w:t>
      </w:r>
      <w:r w:rsidR="00391CD0">
        <w:rPr>
          <w:sz w:val="28"/>
          <w:szCs w:val="28"/>
        </w:rPr>
        <w:t>х</w:t>
      </w:r>
      <w:r w:rsidR="00E54408">
        <w:rPr>
          <w:sz w:val="28"/>
          <w:szCs w:val="28"/>
        </w:rPr>
        <w:t xml:space="preserve"> числах сходится за одну итерацию</w:t>
      </w:r>
    </w:p>
    <w:p w:rsidR="00935AC3" w:rsidRDefault="00935AC3" w:rsidP="00935AC3">
      <w:pPr>
        <w:spacing w:line="360" w:lineRule="auto"/>
        <w:ind w:firstLine="709"/>
        <w:jc w:val="both"/>
      </w:pPr>
      <w:r>
        <w:rPr>
          <w:sz w:val="28"/>
          <w:szCs w:val="28"/>
        </w:rPr>
        <w:t>В результате проведенных экспериментов</w:t>
      </w:r>
      <w:r w:rsidRPr="00935AC3">
        <w:rPr>
          <w:sz w:val="28"/>
          <w:szCs w:val="28"/>
        </w:rPr>
        <w:t xml:space="preserve"> </w:t>
      </w:r>
      <w:r>
        <w:rPr>
          <w:sz w:val="28"/>
          <w:szCs w:val="28"/>
        </w:rPr>
        <w:t>были изучены особенности вычислений с плавающей точкой в ЭВМ. Результаты экспериментов занесены в таблицы и проанализированы; по каждому сделан вывод</w:t>
      </w:r>
    </w:p>
    <w:p w:rsidR="007105B9" w:rsidRDefault="00E5440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 </w:t>
      </w:r>
    </w:p>
    <w:sectPr w:rsidR="007105B9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6F6" w:rsidRDefault="00BE16F6">
      <w:r>
        <w:separator/>
      </w:r>
    </w:p>
  </w:endnote>
  <w:endnote w:type="continuationSeparator" w:id="0">
    <w:p w:rsidR="00BE16F6" w:rsidRDefault="00BE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B9" w:rsidRDefault="00E54408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A7155">
      <w:rPr>
        <w:noProof/>
      </w:rPr>
      <w:t>7</w:t>
    </w:r>
    <w:r>
      <w:fldChar w:fldCharType="end"/>
    </w:r>
  </w:p>
  <w:p w:rsidR="007105B9" w:rsidRDefault="007105B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6F6" w:rsidRDefault="00BE16F6">
      <w:r>
        <w:separator/>
      </w:r>
    </w:p>
  </w:footnote>
  <w:footnote w:type="continuationSeparator" w:id="0">
    <w:p w:rsidR="00BE16F6" w:rsidRDefault="00BE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B9" w:rsidRDefault="00E54408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1E1"/>
    <w:multiLevelType w:val="multilevel"/>
    <w:tmpl w:val="43C433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B7161E"/>
    <w:multiLevelType w:val="multilevel"/>
    <w:tmpl w:val="835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5B9"/>
    <w:rsid w:val="002D7408"/>
    <w:rsid w:val="00391CD0"/>
    <w:rsid w:val="007105B9"/>
    <w:rsid w:val="00716C61"/>
    <w:rsid w:val="00935AC3"/>
    <w:rsid w:val="00AD36DC"/>
    <w:rsid w:val="00BE16F6"/>
    <w:rsid w:val="00DA7155"/>
    <w:rsid w:val="00DC2C58"/>
    <w:rsid w:val="00E54408"/>
    <w:rsid w:val="00E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1C55"/>
  <w15:docId w15:val="{DA7AD915-A204-4ADF-9627-236B0BD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highlight w:val="white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styleId="ad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f1">
    <w:name w:val="Название"/>
    <w:basedOn w:val="a"/>
    <w:qFormat/>
    <w:pPr>
      <w:jc w:val="center"/>
    </w:pPr>
    <w:rPr>
      <w:b/>
      <w:sz w:val="22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styleId="af5">
    <w:name w:val="Normal (Web)"/>
    <w:basedOn w:val="a"/>
    <w:qFormat/>
    <w:pPr>
      <w:tabs>
        <w:tab w:val="left" w:pos="720"/>
      </w:tabs>
      <w:spacing w:before="280" w:after="280"/>
      <w:ind w:left="720"/>
    </w:pPr>
  </w:style>
  <w:style w:type="paragraph" w:styleId="af6">
    <w:name w:val="Subtitle"/>
    <w:basedOn w:val="a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overflowPunct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qFormat/>
    <w:pPr>
      <w:widowControl w:val="0"/>
      <w:overflowPunct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overflowPunct w:val="0"/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pPr>
      <w:widowControl w:val="0"/>
      <w:overflowPunct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pPr>
      <w:overflowPunct w:val="0"/>
    </w:pPr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pPr>
      <w:widowControl w:val="0"/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1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 w:eastAsia="x-none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29">
    <w:name w:val="Импортированный стиль 2"/>
    <w:qFormat/>
  </w:style>
  <w:style w:type="character" w:styleId="aff1">
    <w:name w:val="Placeholder Text"/>
    <w:basedOn w:val="a0"/>
    <w:uiPriority w:val="99"/>
    <w:semiHidden/>
    <w:rsid w:val="00AD3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39</cp:revision>
  <cp:lastPrinted>2015-07-17T09:06:00Z</cp:lastPrinted>
  <dcterms:created xsi:type="dcterms:W3CDTF">2017-09-07T18:08:00Z</dcterms:created>
  <dcterms:modified xsi:type="dcterms:W3CDTF">2019-09-20T08:47:00Z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