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b/>
          <w:bCs/>
          <w:caps/>
          <w:sz w:val="28"/>
          <w:szCs w:val="28"/>
        </w:rPr>
        <w:t>отчет</w:t>
      </w:r>
    </w:p>
    <w:p>
      <w:pPr>
        <w:pStyle w:val="Standard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>
        <w:rPr>
          <w:b/>
          <w:bCs/>
          <w:sz w:val="28"/>
          <w:szCs w:val="28"/>
        </w:rPr>
        <w:t>7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дисциплине «Организация ЭВМ и систем»</w:t>
      </w:r>
    </w:p>
    <w:p>
      <w:pPr>
        <w:pStyle w:val="Standard"/>
        <w:jc w:val="center"/>
        <w:rPr/>
      </w:pPr>
      <w:r>
        <w:rPr>
          <w:rStyle w:val="BookTitle"/>
          <w:b/>
          <w:bCs/>
          <w:caps w:val="false"/>
          <w:smallCaps w:val="false"/>
          <w:sz w:val="28"/>
          <w:szCs w:val="28"/>
        </w:rPr>
        <w:t xml:space="preserve">Тема:  </w:t>
      </w:r>
      <w:r>
        <w:rPr>
          <w:rStyle w:val="BookTitle"/>
          <w:b/>
          <w:bCs/>
          <w:sz w:val="28"/>
          <w:szCs w:val="28"/>
          <w:lang w:eastAsia="en-GB"/>
        </w:rPr>
        <w:t xml:space="preserve"> </w:t>
      </w:r>
      <w:r>
        <w:rPr>
          <w:rStyle w:val="BookTitle"/>
          <w:rFonts w:cs="Times New Roman"/>
          <w:b/>
          <w:bCs/>
          <w:sz w:val="28"/>
          <w:szCs w:val="28"/>
          <w:lang w:val="ru-RU" w:eastAsia="ru-RU" w:bidi="ar-SA"/>
        </w:rPr>
        <w:t>Использование  арифметических операций над целыми числами и процедур в Ассемблере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567" w:header="15" w:top="851" w:footer="8" w:bottom="65" w:gutter="0"/>
          <w:pgNumType w:fmt="decimal"/>
          <w:formProt w:val="false"/>
          <w:textDirection w:val="lrTb"/>
          <w:docGrid w:type="default" w:linePitch="100" w:charSpace="8192"/>
        </w:sectPr>
        <w:pStyle w:val="Standard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</w:p>
    <w:p>
      <w:pPr>
        <w:pStyle w:val="Normal"/>
        <w:spacing w:lineRule="auto" w:line="360"/>
        <w:ind w:left="306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sz w:val="28"/>
          <w:szCs w:val="28"/>
          <w:lang w:eastAsia="ru-RU"/>
        </w:rPr>
        <w:t xml:space="preserve">Научится обрабатывать </w:t>
      </w:r>
      <w:r>
        <w:rPr>
          <w:sz w:val="28"/>
          <w:szCs w:val="28"/>
          <w:lang w:eastAsia="ru-RU"/>
        </w:rPr>
        <w:t>целые числа пир помощи арифметических операций</w:t>
      </w:r>
      <w:r>
        <w:rPr>
          <w:sz w:val="28"/>
          <w:szCs w:val="28"/>
          <w:lang w:eastAsia="ru-RU"/>
        </w:rPr>
        <w:t xml:space="preserve"> на языке ассемблера. Научится </w:t>
      </w:r>
      <w:r>
        <w:rPr>
          <w:sz w:val="28"/>
          <w:szCs w:val="28"/>
          <w:lang w:eastAsia="ru-RU"/>
        </w:rPr>
        <w:t>представлять числа в строковом виде в выбранной системе счисления</w:t>
      </w:r>
      <w:r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Научится реализовывать функции для обработки чисел используя разные методы передачи аргументов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 xml:space="preserve">Разработать  на  языке  Ассемблер  процессора  </w:t>
      </w:r>
      <w:r>
        <w:rPr>
          <w:rFonts w:ascii="Times new Roman" w:hAnsi="Times new Roman"/>
          <w:sz w:val="28"/>
          <w:szCs w:val="28"/>
          <w:lang w:val="en-US" w:eastAsia="ru-RU" w:bidi="ar-SA"/>
        </w:rPr>
        <w:t>IntelX</w:t>
      </w:r>
      <w:r>
        <w:rPr>
          <w:rFonts w:ascii="Times new Roman" w:hAnsi="Times new Roman"/>
          <w:sz w:val="28"/>
          <w:szCs w:val="28"/>
          <w:lang w:val="ru-RU" w:eastAsia="ru-RU" w:bidi="ar-SA"/>
        </w:rPr>
        <w:t xml:space="preserve">86  две  процедуры: </w:t>
      </w:r>
    </w:p>
    <w:p>
      <w:pPr>
        <w:pStyle w:val="PlainText"/>
        <w:numPr>
          <w:ilvl w:val="0"/>
          <w:numId w:val="1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одна – выполняет прямое преобразование целого числа, заданного в регистре АХ ( или в паре  регистров  DХ:АX)  в строку,  представляющую  его символьное изображение в заданной системе счисления (с учетом или без учета знака  в зависимости от варианта задания);</w:t>
      </w:r>
    </w:p>
    <w:p>
      <w:pPr>
        <w:pStyle w:val="PlainText"/>
        <w:numPr>
          <w:ilvl w:val="0"/>
          <w:numId w:val="1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другая - обратное преобразование строки,  представляющей  символьное изображение числа в заданной системе счисления в целое число, помещаемое  в регистр АХ ( или в пару  регистров  DХ:АX)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Строка должна храниться в памяти, а также выводиться на экран для индикации.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Отрицательные числа  при  представлении  с  учетом  знака должны в памяти храниться в дополнительном коде,  а на  экране изображаться в прямом коде с явным указанием знака  или в символьном виде со знаком.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Пример для однобайтовых чисел: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Десятичное число в символьном виде</w:t>
        <w:tab/>
        <w:tab/>
        <w:t>Двоично-десятичное упакованное число</w:t>
      </w:r>
    </w:p>
    <w:p>
      <w:pPr>
        <w:pStyle w:val="Plain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+ 35</w:t>
        <w:tab/>
        <w:tab/>
        <w:tab/>
        <w:tab/>
        <w:tab/>
        <w:tab/>
        <w:tab/>
        <w:t>00110101</w:t>
      </w:r>
    </w:p>
    <w:p>
      <w:pPr>
        <w:pStyle w:val="Plain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- 35</w:t>
        <w:tab/>
        <w:tab/>
        <w:tab/>
        <w:tab/>
        <w:tab/>
        <w:tab/>
        <w:tab/>
        <w:t>11001011</w:t>
      </w:r>
    </w:p>
    <w:p>
      <w:pPr>
        <w:pStyle w:val="PlainText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Варианты заданий для выполнения преобразования определяются шифром,  выбираемым по табл.7  и состоящим из 3-х цифр:</w:t>
      </w:r>
    </w:p>
    <w:p>
      <w:pPr>
        <w:pStyle w:val="PlainText"/>
        <w:numPr>
          <w:ilvl w:val="0"/>
          <w:numId w:val="2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1-я цифра задает длину целого числа: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16 бит, 2- 32 бита;</w:t>
      </w:r>
    </w:p>
    <w:p>
      <w:pPr>
        <w:pStyle w:val="PlainText"/>
        <w:numPr>
          <w:ilvl w:val="0"/>
          <w:numId w:val="2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2-я цифра задает вид представления числа: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1- с учетом знака, 2- без учета знака;</w:t>
      </w:r>
    </w:p>
    <w:p>
      <w:pPr>
        <w:pStyle w:val="PlainText"/>
        <w:numPr>
          <w:ilvl w:val="0"/>
          <w:numId w:val="2"/>
        </w:numPr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3-я цифра задает систему счисления для символьного изображения числа: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1- двоичная, 2- восьмеричная, 3-десятичная, 4- шестнадцатиричная.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Таблица 7</w:t>
      </w:r>
    </w:p>
    <w:tbl>
      <w:tblPr>
        <w:tblW w:w="8505" w:type="dxa"/>
        <w:jc w:val="left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10"/>
        <w:gridCol w:w="2126"/>
        <w:gridCol w:w="1843"/>
        <w:gridCol w:w="2125"/>
      </w:tblGrid>
      <w:tr>
        <w:trPr>
          <w:trHeight w:val="575" w:hRule="atLeast"/>
          <w:cantSplit w:val="true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бригады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бригады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1.1.4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2.2.4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2.1.3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2.2.3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2.1.4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1.1.1</w:t>
            </w:r>
          </w:p>
        </w:tc>
      </w:tr>
    </w:tbl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Написать простейшую головную программу  для  иллюстрации  корректности выполнения заданных преобразований. При этом  вызываемые процедуры  могут  быть  одного   из следующих  типов: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1 - near, 2 – far (в данном сегменте), 3 – far (в другом сегменте).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Связь по данным между основной программой и подпрограммами может осуществляться следующими способами: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А  - только через РОНы;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B  - через  РОНы  и  общедоступные переменные;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C  - через кадр стека.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 xml:space="preserve">    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Шифры, определяющие типы процедур и способы связи по данным, приведены в табл.8.</w:t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Plain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Таблица 8</w:t>
      </w:r>
    </w:p>
    <w:tbl>
      <w:tblPr>
        <w:tblW w:w="8505" w:type="dxa"/>
        <w:jc w:val="left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10"/>
        <w:gridCol w:w="2126"/>
        <w:gridCol w:w="1843"/>
        <w:gridCol w:w="2125"/>
      </w:tblGrid>
      <w:tr>
        <w:trPr>
          <w:trHeight w:val="575" w:hRule="atLeast"/>
          <w:cantSplit w:val="true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бригады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бригады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1А2В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2С1А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1В3С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2А3В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1С2В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1А3В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2А1В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1С2А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2В2А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1А3С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2В3С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2С3В</w:t>
            </w:r>
          </w:p>
        </w:tc>
      </w:tr>
    </w:tbl>
    <w:p>
      <w:pPr>
        <w:pStyle w:val="PlainText"/>
        <w:bidi w:val="0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PlainText"/>
        <w:bidi w:val="0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612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 (13)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>32 бита, с учетом знака, двоичная система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 xml:space="preserve">1-я </w:t>
      </w:r>
      <w:bookmarkStart w:id="0" w:name="__DdeLink__10044_3209713970"/>
      <w:r>
        <w:rPr>
          <w:sz w:val="28"/>
          <w:szCs w:val="28"/>
        </w:rPr>
        <w:t xml:space="preserve">процедура </w:t>
      </w:r>
      <w:bookmarkEnd w:id="0"/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near, </w:t>
      </w:r>
      <w:r>
        <w:rPr>
          <w:sz w:val="28"/>
          <w:szCs w:val="28"/>
        </w:rPr>
        <w:t xml:space="preserve">аргументы через РОНы, 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 xml:space="preserve">2-я процедура  — </w:t>
      </w:r>
      <w:r>
        <w:rPr>
          <w:sz w:val="28"/>
          <w:szCs w:val="28"/>
        </w:rPr>
        <w:t xml:space="preserve">far, один сегмент, </w:t>
      </w:r>
      <w:r>
        <w:rPr>
          <w:sz w:val="28"/>
          <w:szCs w:val="28"/>
        </w:rPr>
        <w:t>РОНы и общие переменные.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Программа содержит две процедуры — dtob для перевода числа в строку в двоичнe. системе счисления и btod для обр</w:t>
      </w:r>
      <w:r>
        <w:rPr>
          <w:b w:val="false"/>
          <w:bCs w:val="false"/>
          <w:sz w:val="28"/>
          <w:szCs w:val="28"/>
          <w:lang w:eastAsia="ru-RU"/>
        </w:rPr>
        <w:t>а</w:t>
      </w:r>
      <w:r>
        <w:rPr>
          <w:b w:val="false"/>
          <w:bCs w:val="false"/>
          <w:sz w:val="28"/>
          <w:szCs w:val="28"/>
          <w:lang w:eastAsia="ru-RU"/>
        </w:rPr>
        <w:t>тного преобразования.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DTOB PROC NEAR; DX:AX - Number; DX - Final binary string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 xml:space="preserve">Переводит 32-битное число записанное в регистрах  </w:t>
      </w:r>
      <w:r>
        <w:rPr>
          <w:b w:val="false"/>
          <w:bCs w:val="false"/>
          <w:sz w:val="28"/>
          <w:szCs w:val="28"/>
          <w:lang w:eastAsia="ru-RU"/>
        </w:rPr>
        <w:t xml:space="preserve">DX:AX </w:t>
      </w:r>
      <w:r>
        <w:rPr>
          <w:b w:val="false"/>
          <w:bCs w:val="false"/>
          <w:sz w:val="28"/>
          <w:szCs w:val="28"/>
          <w:lang w:eastAsia="ru-RU"/>
        </w:rPr>
        <w:t>в строку в двоичном виде с явным указанием знака в прямом коде и возвращает ее смещение через DX.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В начале проверяется знак числа. Если число отрицательное, то оно превращается в положительное, а первым символом в строку записывает знак '-'. В противном случае записывается '+'. Задается двоичная маска. В SI устанавливается активный регистр — DX. Далее в цикле слева пропускаются все незначимые нулевые разряды, маска сдвигается вправо. При п</w:t>
      </w:r>
      <w:r>
        <w:rPr>
          <w:b w:val="false"/>
          <w:bCs w:val="false"/>
          <w:sz w:val="28"/>
          <w:szCs w:val="28"/>
          <w:lang w:eastAsia="ru-RU"/>
        </w:rPr>
        <w:t>р</w:t>
      </w:r>
      <w:r>
        <w:rPr>
          <w:b w:val="false"/>
          <w:bCs w:val="false"/>
          <w:sz w:val="28"/>
          <w:szCs w:val="28"/>
          <w:lang w:eastAsia="ru-RU"/>
        </w:rPr>
        <w:t xml:space="preserve">опуске всего регистра активным регистром задается AX( т. е. В SI помещается значение AX). Когда первый значимый разряд найден </w:t>
      </w:r>
      <w:r>
        <w:rPr>
          <w:b w:val="false"/>
          <w:bCs w:val="false"/>
          <w:sz w:val="28"/>
          <w:szCs w:val="28"/>
          <w:lang w:eastAsia="ru-RU"/>
        </w:rPr>
        <w:t>происходит обход числа в цикле, каждый разряд извлекается при помощи битовой маски и записывается в строку. Если один регистр пройден процесс повторяется со вторым. В регистр DX записывается смещение результирующей строки, выполняется возврат.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 xml:space="preserve">BTOD PROC FAR;TPL - string to process; DX:AX - result number 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П</w:t>
      </w:r>
      <w:r>
        <w:rPr>
          <w:b w:val="false"/>
          <w:bCs w:val="false"/>
          <w:sz w:val="28"/>
          <w:szCs w:val="28"/>
          <w:lang w:eastAsia="ru-RU"/>
        </w:rPr>
        <w:t>ереводит строку из сегмента данных с меткой TPL содержащую двоичные число в прямом коде с явным указанием знака в 32-битное целое число, записанное в регистры DX:AX.</w:t>
      </w:r>
    </w:p>
    <w:p>
      <w:pPr>
        <w:pStyle w:val="Standard"/>
        <w:spacing w:lineRule="auto" w:line="360"/>
        <w:ind w:firstLine="30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>В начале по первому символу определяется является ли число отрицательным, для этого в функции есть флаг NEGT DB. Далее считается длинна строки, индекс SI устанавливается в ее конец и начинается ее обход от младших разрядов к старшим. Каждый символ сравнивается с символом '1', '0'. соответствующий разряд устанав</w:t>
      </w:r>
      <w:r>
        <w:rPr>
          <w:b w:val="false"/>
          <w:bCs w:val="false"/>
          <w:sz w:val="28"/>
          <w:szCs w:val="28"/>
          <w:lang w:eastAsia="ru-RU"/>
        </w:rPr>
        <w:t>л</w:t>
      </w:r>
      <w:r>
        <w:rPr>
          <w:b w:val="false"/>
          <w:bCs w:val="false"/>
          <w:sz w:val="28"/>
          <w:szCs w:val="28"/>
          <w:lang w:eastAsia="ru-RU"/>
        </w:rPr>
        <w:t xml:space="preserve">ивается в соответсвующий регистр при помощи битовой маски. Процедура повторяется для каждым регистром. В результате в регистрах DX:AX </w:t>
      </w:r>
      <w:r>
        <w:rPr>
          <w:b w:val="false"/>
          <w:bCs w:val="false"/>
          <w:sz w:val="28"/>
          <w:szCs w:val="28"/>
          <w:lang w:eastAsia="ru-RU"/>
        </w:rPr>
        <w:t>х</w:t>
      </w:r>
      <w:r>
        <w:rPr>
          <w:b w:val="false"/>
          <w:bCs w:val="false"/>
          <w:sz w:val="28"/>
          <w:szCs w:val="28"/>
          <w:lang w:eastAsia="ru-RU"/>
        </w:rPr>
        <w:t>рани</w:t>
      </w:r>
      <w:r>
        <w:rPr>
          <w:b w:val="false"/>
          <w:bCs w:val="false"/>
          <w:sz w:val="28"/>
          <w:szCs w:val="28"/>
          <w:lang w:eastAsia="ru-RU"/>
        </w:rPr>
        <w:t>тся</w:t>
      </w:r>
      <w:r>
        <w:rPr>
          <w:b w:val="false"/>
          <w:bCs w:val="false"/>
          <w:sz w:val="28"/>
          <w:szCs w:val="28"/>
          <w:lang w:eastAsia="ru-RU"/>
        </w:rPr>
        <w:t xml:space="preserve"> результирующее число. </w:t>
      </w:r>
      <w:r>
        <w:rPr>
          <w:b w:val="false"/>
          <w:bCs w:val="false"/>
          <w:sz w:val="28"/>
          <w:szCs w:val="28"/>
          <w:lang w:eastAsia="ru-RU"/>
        </w:rPr>
        <w:t>Происходит возврат управления в вызвавшую программу.</w:t>
      </w:r>
    </w:p>
    <w:p>
      <w:pPr>
        <w:pStyle w:val="Standard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eastAsia="ru-RU"/>
        </w:rPr>
        <w:tab/>
      </w:r>
      <w:r>
        <w:rPr>
          <w:b w:val="false"/>
          <w:bCs w:val="false"/>
          <w:sz w:val="28"/>
          <w:szCs w:val="28"/>
          <w:lang w:eastAsia="ru-RU"/>
        </w:rPr>
        <w:t>Н</w:t>
      </w:r>
      <w:r>
        <w:rPr>
          <w:b w:val="false"/>
          <w:bCs w:val="false"/>
          <w:sz w:val="28"/>
          <w:szCs w:val="28"/>
          <w:lang w:eastAsia="ru-RU"/>
        </w:rPr>
        <w:t>аписана головная программа для тестирования написанных функций. В ней заданные регистру переводятся в строки первой функцией, затем результирующей функцией строки переводятся обратно в числа, что позволяет оценить правильность работы функций.</w:t>
      </w:r>
    </w:p>
    <w:p>
      <w:pPr>
        <w:pStyle w:val="Standard"/>
        <w:spacing w:lineRule="auto" w:line="360"/>
        <w:ind w:firstLine="306"/>
        <w:jc w:val="both"/>
        <w:rPr>
          <w:sz w:val="28"/>
          <w:szCs w:val="28"/>
          <w:lang w:eastAsia="ru-RU"/>
        </w:rPr>
      </w:pPr>
      <w:r>
        <w:rPr>
          <w:b w:val="false"/>
          <w:bCs w:val="false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Тестирование.</w:t>
      </w:r>
    </w:p>
    <w:tbl>
      <w:tblPr>
        <w:tblStyle w:val="afd"/>
        <w:tblW w:w="96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6"/>
        <w:gridCol w:w="3274"/>
        <w:gridCol w:w="3272"/>
      </w:tblGrid>
      <w:tr>
        <w:trPr/>
        <w:tc>
          <w:tcPr>
            <w:tcW w:w="3086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DX:AX</w:t>
            </w:r>
          </w:p>
        </w:tc>
        <w:tc>
          <w:tcPr>
            <w:tcW w:w="3274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DX = TPL = DTOB(DX:AX)</w:t>
            </w:r>
          </w:p>
        </w:tc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DX:AX  = BTOD(TPL)</w:t>
            </w:r>
          </w:p>
        </w:tc>
      </w:tr>
      <w:tr>
        <w:trPr/>
        <w:tc>
          <w:tcPr>
            <w:tcW w:w="3086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51080821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274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-101110111101111111011111011111</w:t>
            </w:r>
          </w:p>
        </w:tc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51080821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>
        <w:trPr/>
        <w:tc>
          <w:tcPr>
            <w:tcW w:w="3086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D1080821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3274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+1010001000010000000100000100001</w:t>
            </w:r>
          </w:p>
        </w:tc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D1080821</w:t>
            </w:r>
            <w:r>
              <w:rPr>
                <w:sz w:val="28"/>
                <w:szCs w:val="28"/>
              </w:rPr>
              <w:t>h</w:t>
            </w:r>
          </w:p>
        </w:tc>
      </w:tr>
      <w:tr>
        <w:trPr/>
        <w:tc>
          <w:tcPr>
            <w:tcW w:w="3086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00000020h</w:t>
            </w:r>
          </w:p>
        </w:tc>
        <w:tc>
          <w:tcPr>
            <w:tcW w:w="3274" w:type="dxa"/>
            <w:tcBorders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+100000</w:t>
            </w:r>
          </w:p>
        </w:tc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00000020h</w:t>
            </w:r>
          </w:p>
        </w:tc>
      </w:tr>
      <w:tr>
        <w:trPr/>
        <w:tc>
          <w:tcPr>
            <w:tcW w:w="30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00000000h</w:t>
            </w:r>
          </w:p>
        </w:tc>
        <w:tc>
          <w:tcPr>
            <w:tcW w:w="3274" w:type="dxa"/>
            <w:tcBorders>
              <w:top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00000000h</w:t>
            </w:r>
          </w:p>
        </w:tc>
      </w:tr>
      <w:tr>
        <w:trPr/>
        <w:tc>
          <w:tcPr>
            <w:tcW w:w="30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80000000h</w:t>
            </w:r>
          </w:p>
        </w:tc>
        <w:tc>
          <w:tcPr>
            <w:tcW w:w="3274" w:type="dxa"/>
            <w:tcBorders>
              <w:top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-100000000000000000000000000000000</w:t>
            </w:r>
          </w:p>
        </w:tc>
        <w:tc>
          <w:tcPr>
            <w:tcW w:w="327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80000000h</w:t>
            </w:r>
          </w:p>
        </w:tc>
      </w:tr>
    </w:tbl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результате работы были разобраны некоторые базовые концепции языка ассемблера. Были изучены </w:t>
      </w:r>
      <w:r>
        <w:rPr>
          <w:sz w:val="28"/>
          <w:szCs w:val="28"/>
        </w:rPr>
        <w:t>методы работы с целочисленными данными</w:t>
      </w:r>
      <w:r>
        <w:rPr>
          <w:sz w:val="28"/>
          <w:szCs w:val="28"/>
        </w:rPr>
        <w:t xml:space="preserve">. Была написана рабочая программа для </w:t>
      </w:r>
      <w:r>
        <w:rPr>
          <w:sz w:val="28"/>
          <w:szCs w:val="28"/>
        </w:rPr>
        <w:t>перевода чисел в строковое представление</w:t>
      </w:r>
      <w:r>
        <w:rPr>
          <w:sz w:val="28"/>
          <w:szCs w:val="28"/>
        </w:rPr>
        <w:t>.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bCs w:val="false"/>
          <w:caps/>
          <w:sz w:val="28"/>
          <w:szCs w:val="28"/>
          <w:lang w:val="en-US"/>
        </w:rPr>
        <w:t>LR</w:t>
      </w:r>
      <w:r>
        <w:rPr>
          <w:rStyle w:val="BookTitle"/>
          <w:bCs w:val="false"/>
          <w:caps/>
          <w:sz w:val="28"/>
          <w:szCs w:val="28"/>
          <w:lang w:val="en-US"/>
        </w:rPr>
        <w:t>7</w:t>
      </w:r>
      <w:r>
        <w:rPr>
          <w:rStyle w:val="BookTitle"/>
          <w:bCs w:val="false"/>
          <w:caps/>
          <w:sz w:val="28"/>
          <w:szCs w:val="28"/>
          <w:lang w:val="en-US"/>
        </w:rPr>
        <w:t>.</w:t>
      </w:r>
      <w:r>
        <w:rPr>
          <w:rStyle w:val="BookTitle"/>
          <w:bCs w:val="false"/>
          <w:caps/>
          <w:sz w:val="28"/>
          <w:szCs w:val="28"/>
          <w:lang w:val="en-US"/>
        </w:rPr>
        <w:t>ASM</w:t>
      </w:r>
    </w:p>
    <w:p>
      <w:pPr>
        <w:pStyle w:val="Standard"/>
        <w:spacing w:lineRule="auto" w:line="276"/>
        <w:ind w:firstLine="709"/>
        <w:jc w:val="both"/>
        <w:rPr>
          <w:rStyle w:val="BookTitle"/>
          <w:bCs w:val="false"/>
          <w:caps/>
          <w:sz w:val="28"/>
          <w:szCs w:val="28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STACKSG SEGMENT  PARA STACK 'Stack'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DW       512 DUP(?)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STACKSG</w:t>
        <w:tab/>
        <w:t>ENDS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DATASG  SEGMENT  PARA 'Data'</w:t>
        <w:tab/>
        <w:tab/>
        <w:tab/>
        <w:tab/>
        <w:t>;SEG DATA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KEEP_CS DW 0 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TPL DB '-0123456789abcdef0123456789abcdefG$'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DATASG</w:t>
        <w:tab/>
        <w:t>ENDS</w:t>
        <w:tab/>
        <w:tab/>
        <w:tab/>
        <w:tab/>
        <w:tab/>
        <w:tab/>
        <w:tab/>
        <w:tab/>
        <w:t>;ENDS DATA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CODE      SEGMENT   </w:t>
        <w:tab/>
        <w:tab/>
        <w:tab/>
        <w:tab/>
        <w:tab/>
        <w:tab/>
        <w:t>;SEG CODE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ASSUME  DS:DataSG, CS:Code, SS:STACKSG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DTOB PROC NEAR; DX:AX - Number; DX - Final binary string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dtob_start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BASE DW 1;Keep track of registers order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dtob_start:</w:t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BASE,1;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DI,0h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TPL[DI],'+'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BX,8000h;bit mask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jge posit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;negative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TPL[DI],'-'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DI,1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;neg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DX;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AX;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AX,1;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jnc no_carry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DX,1;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no_carry:</w:t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scan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reg_skip:;skept register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BASE,1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ZERO_OR_OVERFLOW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SI,AX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BASE,1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BX,8000h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kostyl;Like not_yet but no initial bit skip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;positive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posit: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TPL[0],'+'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DI,1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;WHILE FIRST NON-ZERO DIGIT NOT FOUND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scan: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not_yet: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shr BX,1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kostyl:;Like not_yet but no initial bit skip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reg_skip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CX,BX;CX &lt;- mask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and CX,SI;CX &lt;- digit of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CX,0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not_yet;LOOP DIGIT SKIP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;CX - first left nonzero digit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digit_loop:;SI - REGISTER TO PROCESS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CX,BX; CX &lt;- mask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and CX,SI; CX &lt;- digit of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CX,0; if zero digit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zero_digit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;non-zero digit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TPL[DI],'1'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DI;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digit_fi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zero_digit: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TPL[DI],'0'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DI;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digit_fi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digit_fi:;endif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shr BX,1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digit_loop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;some register processed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BASE,1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loop_end;AX register processed, we're done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SI,AX;AX not processed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BASE,1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bx,8000h;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digit_loop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loop_end: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TPL[DI],'$'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dtob_end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ZERO_OR_OVERFLOW: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TPL[SI],'-'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EZERO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;OVERFLOW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TPL[SI],'1'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CX,32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OF_LOOP: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SI,CX;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SI,1;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TPL[SI],'0'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loop OF_LOOP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SI,33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TPL[SI],'$'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EZERO: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TPL[SI],'0'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TPL[SI],'$'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dtob_end: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TPL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DTOB ENDP</w:t>
        <w:tab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BTOD PROC FAR;TPL - string to process; DX:AX - result number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btod_start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NEGT DB 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REGN DB 1; REg number: 1, then 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btod_start: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SI,0;Si-index in str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TPL[SI],'-'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positive;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;negative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NEGT,1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SI;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positive: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;cld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ax,ax;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SI,1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len_loop: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SI,1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TPL[SI],'$'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len_loop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;start parsing</w:t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REGN,1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SI,22h;Max len =&gt; -(2^32)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max_d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SI,1;Min len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zero_d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DI,AX ;DI - active register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BX,1;BX - bit mask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parse_loop: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dec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SI,0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jle parse_fi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parse_cont: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;parse_if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TPL[SI],'1'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parse_zero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;parse_one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 DI,BX;set one by mask BX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parse_fi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parse_zero: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BX;set zero by inverted mask BX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and DI,BX;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BX;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parse_fi: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shl BX,1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parse_overflow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;;BX == 0 - overflow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BX,8000h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jb parse_loop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;BX 8000 or more (or overflow)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parse_overflow: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REGN,0;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parse_pool;;EXIT CONDITION HERE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;regn 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;check 8000h as well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BX,8000h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parse_loop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AX,DI;Set processed register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DI,0;Reset active register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REGN,0;Set 0 register number(DX)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BX,1;Reset bit mask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parse_loop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parse_pool: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DX,DI;Set processed register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btod_check_neg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max_d:;max negative number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DX,8000h;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btod_end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zero_d:;Zero number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btod_end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btod_check_neg: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NEGT,0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btod_end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;btod_neg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DX;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not AX;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AX,1;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jnc btod_end;no carry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DX,1;</w:t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;no carry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;btod_pos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btod_end: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BTOD ENDP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Main      PROC  FAR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ab/>
        <w:t>mov  ax, DATASG                        ;ds setup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ab/>
        <w:t xml:space="preserve">mov  ds, ax   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;51080821_16 1359480865_10 1010001000010000000100000100001_2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;D1080821_16 3506964513_10 11010001000010000000100000100001_2 -101110111101111111011111011111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AX,0821h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DTOB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BTOD;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DX,8000h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DTOB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BTOD;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AX,0020h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DTOB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BTOD;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ah,4Ch;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21h;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 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Main      ENDP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CODE      ENDS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 Main</w:t>
        <w:tab/>
        <w:tab/>
        <w:tab/>
        <w:tab/>
        <w:tab/>
        <w:tab/>
        <w:tab/>
        <w:tab/>
        <w:tab/>
        <w:t>;ENDS CODE</w:t>
        <w:tab/>
      </w:r>
    </w:p>
    <w:sectPr>
      <w:headerReference w:type="default" r:id="rId4"/>
      <w:footerReference w:type="default" r:id="rId5"/>
      <w:type w:val="nextPage"/>
      <w:pgSz w:w="11906" w:h="16838"/>
      <w:pgMar w:left="1701" w:right="849" w:header="15" w:top="851" w:footer="8" w:bottom="6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tabs>
        <w:tab w:val="right" w:pos="9639" w:leader="none"/>
      </w:tabs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widowControl w:val="false"/>
      <w:bidi w:val="0"/>
      <w:jc w:val="both"/>
      <w:outlineLvl w:val="0"/>
    </w:pPr>
    <w:rPr>
      <w:rFonts w:ascii="Liberation Serif" w:hAnsi="Liberation Serif" w:eastAsia="Noto Sans CJK SC" w:cs="Lohit Devanagari"/>
      <w:i/>
      <w:color w:val="auto"/>
      <w:kern w:val="0"/>
      <w:sz w:val="20"/>
      <w:szCs w:val="24"/>
      <w:lang w:val="ru-RU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kern w:val="0"/>
      <w:sz w:val="26"/>
      <w:szCs w:val="26"/>
      <w:lang w:val="ru-RU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2"/>
    </w:pPr>
    <w:rPr>
      <w:rFonts w:ascii="Cambria" w:hAnsi="Cambria" w:eastAsia="Noto Sans CJK SC" w:cs="Lohit Devanagari"/>
      <w:b/>
      <w:bCs/>
      <w:color w:val="4F81BD"/>
      <w:kern w:val="0"/>
      <w:sz w:val="20"/>
      <w:szCs w:val="24"/>
      <w:lang w:val="ru-RU" w:eastAsia="zh-CN" w:bidi="hi-IN"/>
    </w:rPr>
  </w:style>
  <w:style w:type="paragraph" w:styleId="Heading4">
    <w:name w:val="Heading 4"/>
    <w:basedOn w:val="Normal"/>
    <w:qFormat/>
    <w:pPr>
      <w:keepNext w:val="true"/>
      <w:widowControl w:val="false"/>
      <w:bidi w:val="0"/>
      <w:spacing w:before="240" w:after="60"/>
      <w:jc w:val="left"/>
      <w:outlineLvl w:val="3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ru-RU" w:eastAsia="zh-CN" w:bidi="hi-IN"/>
    </w:rPr>
  </w:style>
  <w:style w:type="paragraph" w:styleId="Heading5">
    <w:name w:val="Heading 5"/>
    <w:basedOn w:val="Normal"/>
    <w:qFormat/>
    <w:pPr>
      <w:widowControl w:val="false"/>
      <w:bidi w:val="0"/>
      <w:spacing w:before="240" w:after="60"/>
      <w:jc w:val="left"/>
      <w:outlineLvl w:val="4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6"/>
      <w:szCs w:val="26"/>
      <w:lang w:val="ru-RU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  <w:kern w:val="0"/>
      <w:sz w:val="20"/>
      <w:szCs w:val="24"/>
      <w:lang w:val="ru-RU" w:eastAsia="zh-CN" w:bidi="hi-IN"/>
    </w:rPr>
  </w:style>
  <w:style w:type="paragraph" w:styleId="Heading7">
    <w:name w:val="Heading 7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  <w:kern w:val="0"/>
      <w:sz w:val="20"/>
      <w:szCs w:val="24"/>
      <w:lang w:val="ru-RU" w:eastAsia="zh-CN" w:bidi="hi-IN"/>
    </w:rPr>
  </w:style>
  <w:style w:type="paragraph" w:styleId="Heading9">
    <w:name w:val="Heading 9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3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4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5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1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1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2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ListLabel24">
    <w:name w:val="ListLabel 24"/>
    <w:qFormat/>
    <w:rPr>
      <w:rFonts w:cs="Times New Roman"/>
      <w:sz w:val="24"/>
    </w:rPr>
  </w:style>
  <w:style w:type="character" w:styleId="ListLabel25">
    <w:name w:val="ListLabel 25"/>
    <w:qFormat/>
    <w:rPr>
      <w:rFonts w:cs="OpenSymbol"/>
      <w:sz w:val="24"/>
    </w:rPr>
  </w:style>
  <w:style w:type="character" w:styleId="ListLabel26">
    <w:name w:val="ListLabel 26"/>
    <w:qFormat/>
    <w:rPr>
      <w:rFonts w:cs="OpenSymbol"/>
      <w:sz w:val="24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  <w:sz w:val="24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eastAsia="OpenSymbol" w:cs="OpenSymbol"/>
    </w:rPr>
  </w:style>
  <w:style w:type="character" w:styleId="ListLabel65">
    <w:name w:val="ListLabel 65"/>
    <w:qFormat/>
    <w:rPr>
      <w:rFonts w:eastAsia="OpenSymbol" w:cs="OpenSymbol"/>
    </w:rPr>
  </w:style>
  <w:style w:type="character" w:styleId="ListLabel66">
    <w:name w:val="ListLabel 66"/>
    <w:qFormat/>
    <w:rPr>
      <w:rFonts w:eastAsia="OpenSymbol" w:cs="OpenSymbol"/>
    </w:rPr>
  </w:style>
  <w:style w:type="character" w:styleId="ListLabel67">
    <w:name w:val="ListLabel 67"/>
    <w:qFormat/>
    <w:rPr>
      <w:rFonts w:eastAsia="OpenSymbol" w:cs="OpenSymbol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rFonts w:eastAsia="OpenSymbol" w:cs="OpenSymbol"/>
    </w:rPr>
  </w:style>
  <w:style w:type="character" w:styleId="ListLabel71">
    <w:name w:val="ListLabel 71"/>
    <w:qFormat/>
    <w:rPr>
      <w:rFonts w:cs="Times New Roman"/>
      <w:sz w:val="24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paragraph" w:styleId="Heading" w:customStyle="1">
    <w:name w:val="Heading"/>
    <w:next w:val="TextBody"/>
    <w:qFormat/>
    <w:pPr>
      <w:widowControl w:val="false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Textbody1" w:customStyle="1">
    <w:name w:val="Text body"/>
    <w:basedOn w:val="Standard"/>
    <w:qFormat/>
    <w:pPr>
      <w:jc w:val="center"/>
    </w:pPr>
    <w:rPr>
      <w:b/>
      <w:sz w:val="28"/>
    </w:rPr>
  </w:style>
  <w:style w:type="paragraph" w:styleId="Caption1">
    <w:name w:val="caption"/>
    <w:basedOn w:val="Standard"/>
    <w:next w:val="Standard"/>
    <w:qFormat/>
    <w:pPr>
      <w:ind w:firstLine="567"/>
    </w:pPr>
    <w:rPr>
      <w:szCs w:val="20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ubtitle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17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Footer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overflowPunct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Standard"/>
    <w:pPr/>
    <w:rPr/>
  </w:style>
  <w:style w:type="paragraph" w:styleId="13" w:customStyle="1">
    <w:name w:val="Основной текст1"/>
    <w:qFormat/>
    <w:pPr>
      <w:widowControl/>
      <w:overflowPunct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 w:customStyle="1">
    <w:name w:val="Обычный1"/>
    <w:qFormat/>
    <w:pPr>
      <w:widowControl/>
      <w:overflowPunct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19" w:customStyle="1">
    <w:name w:val="Стиль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ru-RU" w:eastAsia="zh-CN" w:bidi="ar-SA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5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overflowPunct w:val="false"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val="ru-RU" w:eastAsia="zh-CN" w:bidi="ar-SA"/>
    </w:rPr>
  </w:style>
  <w:style w:type="paragraph" w:styleId="Style161" w:customStyle="1">
    <w:name w:val="Style16"/>
    <w:qFormat/>
    <w:pPr>
      <w:widowControl/>
      <w:overflowPunct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6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>
      <w:textAlignment w:val="auto"/>
    </w:pPr>
    <w:rPr>
      <w:rFonts w:ascii="Courier New" w:hAnsi="Courier New" w:eastAsia="Courier New" w:cs="Courier New"/>
      <w:sz w:val="20"/>
      <w:szCs w:val="20"/>
      <w:lang w:eastAsia="ru-RU"/>
    </w:rPr>
  </w:style>
  <w:style w:type="paragraph" w:styleId="33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3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1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1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2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12</Pages>
  <Words>1371</Words>
  <Characters>7802</Characters>
  <CharactersWithSpaces>9179</CharactersWithSpaces>
  <Paragraphs>401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2019-10-02T20:13:00Z</dcterms:created>
  <dc:creator>SAP</dc:creator>
  <dc:description/>
  <dc:language>en-GB</dc:language>
  <cp:lastModifiedBy/>
  <cp:lastPrinted>2015-07-17T12:06:00Z</cp:lastPrinted>
  <dcterms:modified xsi:type="dcterms:W3CDTF">2019-10-23T20:42:46Z</dcterms:modified>
  <cp:revision>11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