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charts/chart3.xml" ContentType="application/vnd.openxmlformats-officedocument.drawingml.chart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media/hdphoto1.wdp" ContentType="image/vnd.ms-photo"/>
  <Override PartName="/word/media/image9.png" ContentType="image/png"/>
  <Override PartName="/word/media/image7.jpeg" ContentType="image/jpeg"/>
  <Override PartName="/word/media/image2.png" ContentType="image/png"/>
  <Override PartName="/word/media/image8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безопасности жизнедеятельности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№17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«Безопасность жизнедеятельности»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Эффективность и качество освещения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8383</w:t>
            </w:r>
          </w:p>
        </w:tc>
        <w:tc>
          <w:tcPr>
            <w:tcW w:w="247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Ишанина Л.Н.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8383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Ларин А.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8383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Сырцова Е.А.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Овдиенко Е.Н.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2021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940425" cy="792035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изучение количественных и качественных характеристик систем освещения;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оценка влияния типа светильника и цветовой отделки интерьера помещения на освещённость и коэффициент использования светового потока;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ознакомление с нормативными документами, регламентирующими освещённость на рабочем месте;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ознакомление с методикой оценки условий труда на рабочем месте по фактору «Освещение»;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изучение методик и технической базы для проведения измерений светотехнических параметров.</w:t>
      </w:r>
    </w:p>
    <w:p>
      <w:pPr>
        <w:pStyle w:val="Normal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  <w:t>Обработка результатов эксперимента</w:t>
      </w:r>
    </w:p>
    <w:p>
      <w:pPr>
        <w:pStyle w:val="Normal"/>
        <w:spacing w:lineRule="auto" w:line="36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Анализ графиков распределения освещенности разных ламп Е(х).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Была измерена освещенность, создаваемая различными источниками света, в пяти точках измерения при установке темных стенок на стенде. Результаты представлены в табл. 1.</w:t>
      </w:r>
    </w:p>
    <w:p>
      <w:pPr>
        <w:pStyle w:val="Style18"/>
        <w:jc w:val="right"/>
        <w:rPr/>
      </w:pPr>
      <w:r>
        <w:rPr/>
        <w:t>Таблица 1</w:t>
      </w:r>
    </w:p>
    <w:tbl>
      <w:tblPr>
        <w:tblStyle w:val="a5"/>
        <w:tblW w:w="949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85"/>
        <w:gridCol w:w="1881"/>
        <w:gridCol w:w="1697"/>
        <w:gridCol w:w="1678"/>
        <w:gridCol w:w="1678"/>
        <w:gridCol w:w="1677"/>
      </w:tblGrid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 xml:space="preserve">№ </w:t>
            </w: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точки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№1 Люминесц., 9Вт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№4, Люминесц., 13Вт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№5, Светод., 12 Вт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№6, Накаливания, 60Вт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№7, Галог., 50 Вт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254,5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399,8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553,6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295,4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410,8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266,0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606,8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933,3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439,2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2705,4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264,5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705,3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1120,6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560,0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6412,9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261,6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713,1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890,3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474,0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2866,9</w:t>
            </w:r>
          </w:p>
        </w:tc>
      </w:tr>
      <w:tr>
        <w:trPr>
          <w:trHeight w:val="285" w:hRule="atLeast"/>
        </w:trPr>
        <w:tc>
          <w:tcPr>
            <w:tcW w:w="885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</w:t>
            </w:r>
          </w:p>
        </w:tc>
        <w:tc>
          <w:tcPr>
            <w:tcW w:w="1881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202,1</w:t>
            </w:r>
          </w:p>
        </w:tc>
        <w:tc>
          <w:tcPr>
            <w:tcW w:w="169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631,5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537,2</w:t>
            </w:r>
          </w:p>
        </w:tc>
        <w:tc>
          <w:tcPr>
            <w:tcW w:w="1678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321,1</w:t>
            </w:r>
          </w:p>
        </w:tc>
        <w:tc>
          <w:tcPr>
            <w:tcW w:w="1677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397,1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Была измерена освещенность, создаваемая различными источниками света, в пяти точках измерения при установке светлых стенок на стенде. Результаты представлены в табл. 2.</w:t>
      </w:r>
    </w:p>
    <w:p>
      <w:pPr>
        <w:pStyle w:val="Style18"/>
        <w:jc w:val="right"/>
        <w:rPr/>
      </w:pPr>
      <w:r>
        <w:rPr/>
        <w:t>Таблица 2</w:t>
      </w:r>
    </w:p>
    <w:tbl>
      <w:tblPr>
        <w:tblStyle w:val="a5"/>
        <w:tblW w:w="947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83"/>
        <w:gridCol w:w="1876"/>
        <w:gridCol w:w="1692"/>
        <w:gridCol w:w="1676"/>
        <w:gridCol w:w="1676"/>
        <w:gridCol w:w="1674"/>
      </w:tblGrid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 xml:space="preserve">№ </w:t>
            </w: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точки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№1, Люминесц., 9Вт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№4, Люминесц., 13Вт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№5, Светод., 12 Вт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№6, Накаливания, 60Вт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464,0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708,9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841,7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441,2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620,5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2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472,5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876,0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1203,1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582,5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2712,2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3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455,1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984,8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1403,9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659,0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6031,3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4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434,1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1060,5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1203,9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610,5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3040,0</w:t>
            </w:r>
          </w:p>
        </w:tc>
      </w:tr>
      <w:tr>
        <w:trPr>
          <w:trHeight w:val="271" w:hRule="atLeast"/>
        </w:trPr>
        <w:tc>
          <w:tcPr>
            <w:tcW w:w="88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0"/>
                <w:lang w:eastAsia="ru-RU"/>
              </w:rPr>
              <w:t>5</w:t>
            </w:r>
          </w:p>
        </w:tc>
        <w:tc>
          <w:tcPr>
            <w:tcW w:w="18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368,9</w:t>
            </w:r>
          </w:p>
        </w:tc>
        <w:tc>
          <w:tcPr>
            <w:tcW w:w="1692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998,6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825,3</w:t>
            </w:r>
          </w:p>
        </w:tc>
        <w:tc>
          <w:tcPr>
            <w:tcW w:w="1676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501,0</w:t>
            </w:r>
          </w:p>
        </w:tc>
        <w:tc>
          <w:tcPr>
            <w:tcW w:w="167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598,2</w:t>
            </w:r>
            <w:bookmarkStart w:id="0" w:name="_Hlk87021435"/>
            <w:bookmarkEnd w:id="0"/>
          </w:p>
        </w:tc>
      </w:tr>
    </w:tbl>
    <w:p>
      <w:pPr>
        <w:pStyle w:val="Normal"/>
        <w:tabs>
          <w:tab w:val="left" w:pos="2863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/>
        <w:drawing>
          <wp:inline distT="0" distB="0" distL="0" distR="0">
            <wp:extent cx="6955155" cy="3911600"/>
            <wp:effectExtent l="0" t="0" r="0" b="0"/>
            <wp:docPr id="2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"/>
              </a:graphicData>
            </a:graphic>
          </wp:inline>
        </w:drawing>
      </w:r>
      <w:r>
        <w:rPr>
          <w:rFonts w:eastAsia="NSimSun" w:cs="Mangal"/>
          <w:kern w:val="2"/>
          <w:sz w:val="28"/>
          <w:lang w:eastAsia="en-US"/>
        </w:rPr>
        <w:t>По данным из таблицы 1 была составлен график зависимости освещенности набора ламп от точки измерения для темных стенок.</w:t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/>
      </w:pPr>
      <w:r>
        <w:rPr>
          <w:rFonts w:eastAsia="NSimSun" w:cs="Mangal"/>
          <w:kern w:val="2"/>
          <w:sz w:val="28"/>
          <w:lang w:eastAsia="en-US"/>
        </w:rPr>
        <w:t>Рисунок 1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>
          <w:rFonts w:eastAsia="NSimSun" w:cs="Mangal"/>
          <w:kern w:val="2"/>
          <w:sz w:val="28"/>
          <w:lang w:eastAsia="en-US"/>
        </w:rPr>
        <w:t>По данным из таблицы 2 была составлен график зависимости освещенности набора ламп от точки измерения для светлых стенок.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/>
      </w:r>
      <w:r>
        <w:br w:type="page"/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/>
      </w:pPr>
      <w:r>
        <w:rPr/>
        <w:drawing>
          <wp:inline distT="0" distB="0" distL="0" distR="0">
            <wp:extent cx="6725285" cy="3782695"/>
            <wp:effectExtent l="0" t="0" r="0" b="0"/>
            <wp:docPr id="3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r>
        <w:rPr>
          <w:rFonts w:eastAsia="NSimSun" w:cs="Mangal"/>
          <w:kern w:val="2"/>
          <w:sz w:val="28"/>
          <w:lang w:eastAsia="en-US"/>
        </w:rPr>
        <w:t>Рисунок 2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Исходя из диаграмм видно, что при светлых стенках уровень освещенности повышается, так как светлые стенки отражают свет, в отличие от темных.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>
          <w:rFonts w:eastAsia="NSimSun" w:cs="Mangal"/>
          <w:bCs/>
          <w:kern w:val="2"/>
          <w:sz w:val="28"/>
          <w:lang w:eastAsia="en-US"/>
        </w:rPr>
        <w:t xml:space="preserve">Таким образом, можно сделать вывод, что Лампа галогеновая имеет наибольшее освещенность в точке №3, которая расположена по центру. Это объяснимо тем, что она имеет достаточно высокую мощность, расположена по центру и имеет газ с галогенами, за счет которого </w:t>
      </w:r>
      <w:r>
        <w:rPr>
          <w:sz w:val="28"/>
          <w:szCs w:val="28"/>
          <w:shd w:fill="FFFFFF" w:val="clear"/>
        </w:rPr>
        <w:t>сокращается испарение вольфрама и повышается температура спирали. К тому же, галогеновая лампа имеет строение, которое направляет свет преимущественно в одну сторону, тем самым стены получают намного меньше света. Поэтому даже при изменении светлых стенок на темные, освещенности почти не изменяются.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sz w:val="28"/>
          <w:szCs w:val="28"/>
          <w:highlight w:val="white"/>
        </w:rPr>
      </w:pPr>
      <w:r>
        <w:rPr>
          <w:sz w:val="28"/>
          <w:szCs w:val="28"/>
          <w:shd w:fill="FFFFFF" w:val="clear"/>
        </w:rPr>
        <w:t>Лампы люминесцентные и накаливания имеют схожую равномерную освещенность на всех точках, так как их строение направляет свет равномерно во все направления.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sz w:val="28"/>
          <w:szCs w:val="28"/>
          <w:highlight w:val="white"/>
        </w:rPr>
      </w:pPr>
      <w:r>
        <w:rPr>
          <w:sz w:val="28"/>
          <w:szCs w:val="28"/>
          <w:shd w:fill="FFFFFF" w:val="clear"/>
        </w:rPr>
        <w:t>Лампа светодиодная имеет увеличенную освещенность в центральных точках, так как её рассеиватель сделан в виде полусферы. При смене стенок со светлых на темные, показатель освещенности понижается.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bCs/>
          <w:kern w:val="2"/>
          <w:sz w:val="28"/>
          <w:lang w:eastAsia="en-US"/>
        </w:rPr>
      </w:pPr>
      <w:r>
        <w:rPr>
          <w:rFonts w:eastAsia="NSimSun" w:cs="Mangal"/>
          <w:bCs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pacing w:lineRule="auto" w:line="36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Анализ коэффициентов пульсации разных ламп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Были получены значения коэффициента пульсации для различных ламп, результаты представлены в табл. 3.</w:t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3</w:t>
      </w:r>
    </w:p>
    <w:tbl>
      <w:tblPr>
        <w:tblStyle w:val="1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12"/>
        <w:gridCol w:w="4842"/>
      </w:tblGrid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Лампа</w:t>
            </w:r>
          </w:p>
        </w:tc>
        <w:tc>
          <w:tcPr>
            <w:tcW w:w="484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i/>
                <w:i/>
                <w:kern w:val="2"/>
                <w:sz w:val="28"/>
                <w:lang w:eastAsia="en-US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</m:oMath>
            <w:r>
              <w:rPr>
                <w:rFonts w:eastAsia="Times New Roman" w:cs="Times New Roman"/>
                <w:i/>
                <w:kern w:val="2"/>
                <w:sz w:val="28"/>
                <w:szCs w:val="24"/>
                <w:lang w:eastAsia="en-US"/>
              </w:rPr>
              <w:t>,</w:t>
            </w: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 xml:space="preserve"> %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 Люминесцентная, 9Вт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26,7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4 Люминесцентная, 13Вт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4,9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5 Светодиодная, 12 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11,5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6, Накаливания, 60Вт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10,4</w:t>
            </w:r>
          </w:p>
        </w:tc>
      </w:tr>
      <w:tr>
        <w:trPr/>
        <w:tc>
          <w:tcPr>
            <w:tcW w:w="451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№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7 Галогеновая, 50 Вт</w:t>
            </w:r>
          </w:p>
        </w:tc>
        <w:tc>
          <w:tcPr>
            <w:tcW w:w="4842" w:type="dxa"/>
            <w:tcBorders/>
            <w:shd w:color="auto" w:fill="FFFFFF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 w:val="28"/>
                <w:lang w:eastAsia="en-US"/>
              </w:rPr>
            </w:pPr>
            <w:r>
              <w:rPr>
                <w:rFonts w:eastAsia="Times New Roman" w:cs="Times New Roman"/>
                <w:kern w:val="2"/>
                <w:sz w:val="28"/>
                <w:szCs w:val="24"/>
                <w:lang w:eastAsia="en-US"/>
              </w:rPr>
              <w:t>1,3</w:t>
            </w:r>
          </w:p>
        </w:tc>
      </w:tr>
    </w:tbl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№1 имеет наибольший показатель коэффициента пульсаций 26,7%. Так как в ней используется ЭмПРА - электромагнитный пускорегулирующий аппарат, который на выходе даёт 50 Гц на лампу, частота ее мерцаний соответственно 100 Гц, и она сильно пульсирует.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Данная лампа обладает небольшой скоростью нагревания.</w:t>
      </w:r>
    </w:p>
    <w:p>
      <w:pPr>
        <w:pStyle w:val="Normal"/>
        <w:suppressAutoHyphens w:val="true"/>
        <w:spacing w:lineRule="auto" w:line="360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0" distL="0" distR="0">
            <wp:extent cx="3634740" cy="344170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10" t="8246" r="30097" b="1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3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№4 имеет небольшой показатель коэффициента пульсаций 4,9%. Так как в ней используется ЭПРА - электронный пускорегулирующий аппарат, который на выходе даёт высокую частоту на лампу, частота ее мерцаний очень высокая, она не успевает нагреться и остыть, поэтому пульсации намного ниже.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0" distL="0" distR="0">
            <wp:extent cx="3876675" cy="205740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4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светодиодная №5 имеет небольшой показатель коэффициента пульсаций 11,5%. Так как в ней используется драйвера, из-за которых напряжение проходит в виде постоянного тока.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0" distL="0" distR="0">
            <wp:extent cx="3931920" cy="1921510"/>
            <wp:effectExtent l="0" t="0" r="0" b="0"/>
            <wp:docPr id="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5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имеет небольшой показатель коэффициента пульсаций 10,4%. Так как она содержит в себе нить накала, которая не успевает нагреваться/остывать.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/>
        <w:drawing>
          <wp:inline distT="0" distB="0" distL="0" distR="0">
            <wp:extent cx="3855720" cy="197485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Рисунок 6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галогеновая №7 имеет самый низкий показатель коэффициента пульсаций 1,3%. Так как она тоже имеет нить накала, у неё остается тепло. При этом она имеет инертный газ, который позволяет осуществлять нагревание нити до высоких температур, и не успевает остывать.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графика коэффициента пульсаций для трех люминесцентных ламп.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Были получены значения </w:t>
      </w:r>
      <w:bookmarkStart w:id="1" w:name="_Hlk87019921"/>
      <w:r>
        <w:rPr>
          <w:rFonts w:eastAsia="NSimSun" w:cs="Mangal"/>
          <w:kern w:val="2"/>
          <w:sz w:val="28"/>
          <w:lang w:eastAsia="en-US"/>
        </w:rPr>
        <w:t>Кп для одной, двух и трех люминесцентных ламп</w:t>
      </w:r>
      <w:bookmarkEnd w:id="1"/>
      <w:r>
        <w:rPr>
          <w:rFonts w:eastAsia="NSimSun" w:cs="Mangal"/>
          <w:kern w:val="2"/>
          <w:sz w:val="28"/>
          <w:lang w:eastAsia="en-US"/>
        </w:rPr>
        <w:t xml:space="preserve"> (9 Вт). Полученные результаты представлены в табл. 4.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4</w:t>
      </w:r>
    </w:p>
    <w:tbl>
      <w:tblPr>
        <w:tblStyle w:val="a5"/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77"/>
        <w:gridCol w:w="4677"/>
      </w:tblGrid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Кол-во люм. ламп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i/>
                <w:i/>
                <w:sz w:val="24"/>
                <w:szCs w:val="22"/>
                <w:lang w:val="en-US"/>
              </w:rPr>
            </w:pPr>
            <w:r>
              <w:rPr>
                <w:szCs w:val="20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%</m:t>
              </m:r>
            </m:oMath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26,7</w:t>
            </w:r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2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14,7</w:t>
            </w:r>
          </w:p>
        </w:tc>
      </w:tr>
      <w:tr>
        <w:trPr/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3</w:t>
            </w:r>
          </w:p>
        </w:tc>
        <w:tc>
          <w:tcPr>
            <w:tcW w:w="4677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Calibri" w:cs="Times New Roman" w:ascii="Calibri" w:hAnsi="Calibri"/>
                <w:sz w:val="24"/>
                <w:szCs w:val="22"/>
                <w:lang w:eastAsia="ru-RU"/>
              </w:rPr>
              <w:t>10,6</w:t>
            </w:r>
          </w:p>
        </w:tc>
      </w:tr>
    </w:tbl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А также были получены значения Кп в пяти точках при трех включенных лампах. Полученные значения коэффициента пульсаций представлены в табл. 5.</w:t>
      </w:r>
    </w:p>
    <w:p>
      <w:pPr>
        <w:pStyle w:val="Normal"/>
        <w:suppressAutoHyphens w:val="true"/>
        <w:spacing w:lineRule="auto" w:line="360" w:before="120" w:after="0"/>
        <w:jc w:val="right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5</w:t>
      </w:r>
    </w:p>
    <w:tbl>
      <w:tblPr>
        <w:tblStyle w:val="1"/>
        <w:tblW w:w="939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565"/>
        <w:gridCol w:w="1565"/>
        <w:gridCol w:w="1565"/>
        <w:gridCol w:w="1567"/>
        <w:gridCol w:w="1565"/>
        <w:gridCol w:w="1562"/>
      </w:tblGrid>
      <w:tr>
        <w:trPr>
          <w:trHeight w:val="470" w:hRule="atLeast"/>
        </w:trPr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Точка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1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2</w:t>
            </w:r>
          </w:p>
        </w:tc>
        <w:tc>
          <w:tcPr>
            <w:tcW w:w="1567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3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4</w:t>
            </w:r>
          </w:p>
        </w:tc>
        <w:tc>
          <w:tcPr>
            <w:tcW w:w="156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val="en-US"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val="en-US" w:eastAsia="en-US"/>
              </w:rPr>
              <w:t>5</w:t>
            </w:r>
          </w:p>
        </w:tc>
      </w:tr>
      <w:tr>
        <w:trPr>
          <w:trHeight w:val="470" w:hRule="atLeast"/>
        </w:trPr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i/>
                <w:i/>
                <w:kern w:val="2"/>
                <w:szCs w:val="22"/>
                <w:lang w:val="en-US"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п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%</m:t>
              </m:r>
            </m:oMath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val="en-US" w:eastAsia="ru-RU"/>
              </w:rPr>
              <w:t>7</w:t>
            </w:r>
            <w:r>
              <w:rPr>
                <w:rFonts w:eastAsia="Times New Roman" w:cs="Times New Roman"/>
                <w:kern w:val="2"/>
                <w:szCs w:val="24"/>
                <w:lang w:eastAsia="ru-RU"/>
              </w:rPr>
              <w:t>,3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9,2</w:t>
            </w:r>
          </w:p>
        </w:tc>
        <w:tc>
          <w:tcPr>
            <w:tcW w:w="1567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10,6</w:t>
            </w:r>
          </w:p>
        </w:tc>
        <w:tc>
          <w:tcPr>
            <w:tcW w:w="1565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11</w:t>
            </w:r>
          </w:p>
        </w:tc>
        <w:tc>
          <w:tcPr>
            <w:tcW w:w="1562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12,1</w:t>
            </w:r>
          </w:p>
        </w:tc>
      </w:tr>
    </w:tbl>
    <w:p>
      <w:pPr>
        <w:pStyle w:val="Normal"/>
        <w:suppressAutoHyphens w:val="true"/>
        <w:spacing w:lineRule="auto" w:line="360" w:before="120" w:after="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По данным из табл. 5 был построен график зависимости Кп от точки измерения.</w:t>
      </w:r>
    </w:p>
    <w:p>
      <w:pPr>
        <w:pStyle w:val="Normal"/>
        <w:suppressAutoHyphens w:val="true"/>
        <w:spacing w:lineRule="auto" w:line="360" w:before="0" w:after="120"/>
        <w:jc w:val="center"/>
        <w:textAlignment w:val="baseline"/>
        <w:rPr>
          <w:kern w:val="2"/>
          <w:sz w:val="28"/>
          <w:lang w:eastAsia="en-US"/>
        </w:rPr>
      </w:pPr>
      <w:r>
        <w:rPr/>
        <w:drawing>
          <wp:inline distT="0" distB="0" distL="0" distR="0">
            <wp:extent cx="4572000" cy="2743200"/>
            <wp:effectExtent l="0" t="0" r="0" b="0"/>
            <wp:docPr id="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kern w:val="2"/>
          <w:sz w:val="28"/>
          <w:lang w:eastAsia="en-US"/>
        </w:rPr>
      </w:pPr>
      <w:r>
        <w:rPr>
          <w:kern w:val="2"/>
          <w:sz w:val="28"/>
          <w:lang w:eastAsia="en-US"/>
        </w:rPr>
        <w:t>По данным из табл. 4 можно сделать вывод, что чем больше количество ламп, тем меньше становится Кп. Так как лампы подключены к разным фазам, то световые потоки ламп компенсируют друг друга.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bCs/>
          <w:kern w:val="2"/>
          <w:sz w:val="28"/>
          <w:lang w:eastAsia="en-US"/>
        </w:rPr>
        <w:t xml:space="preserve">Исходя из графика </w:t>
      </w:r>
      <w:r>
        <w:rPr>
          <w:rFonts w:eastAsia="NSimSun" w:cs="Mangal"/>
          <w:kern w:val="2"/>
          <w:sz w:val="28"/>
          <w:lang w:eastAsia="en-US"/>
        </w:rPr>
        <w:t>зависимости Кп от точки измерения, можно сделать вывод, что наименьшее значение Кп принимает в первой точке, а наибольшее в крайней пятой. Это связано с тем, что в 1 точке достигается наибольшее влияние ламп, которые компенсируют друг друга (происходит сглаживание пульсаций). В 5 точке достигается наибольшее значение Кп, так как влияние ламп уменьшается, в связи с чем повышается Кп.</w:t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коэффициентов использования разных ламп.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50800</wp:posOffset>
            </wp:positionH>
            <wp:positionV relativeFrom="paragraph">
              <wp:posOffset>67310</wp:posOffset>
            </wp:positionV>
            <wp:extent cx="1641475" cy="5513705"/>
            <wp:effectExtent l="0" t="0" r="0" b="0"/>
            <wp:wrapSquare wrapText="bothSides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GoBack"/>
      <w:bookmarkStart w:id="3" w:name="_GoBack"/>
      <w:bookmarkEnd w:id="3"/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Лампа накаливания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Светит во все стороны, фактически в точку измерения приходит небольная часть. Следовательно Ки низкий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Люминисцентная лампа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Свет так же не направлен, Ки низкий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Галогеновая лампа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 xml:space="preserve">Имеет отражатель на обратной сторон, что даёт направленый свет, </w:t>
      </w:r>
      <w:r>
        <w:rPr>
          <w:rFonts w:eastAsia="NSimSun" w:cs="Mangal"/>
          <w:kern w:val="2"/>
          <w:sz w:val="24"/>
          <w:szCs w:val="24"/>
          <w:lang w:eastAsia="en-US"/>
        </w:rPr>
        <w:t>почти весь поток Ф</w:t>
      </w:r>
      <w:r>
        <w:rPr>
          <w:rFonts w:eastAsia="NSimSun" w:cs="Mangal"/>
          <w:kern w:val="2"/>
          <w:sz w:val="24"/>
          <w:szCs w:val="24"/>
          <w:vertAlign w:val="subscript"/>
          <w:lang w:eastAsia="en-US"/>
        </w:rPr>
        <w:t xml:space="preserve">ист </w:t>
      </w:r>
      <w:r>
        <w:rPr>
          <w:rFonts w:eastAsia="NSimSun" w:cs="Mangal"/>
          <w:kern w:val="2"/>
          <w:position w:val="0"/>
          <w:sz w:val="24"/>
          <w:sz w:val="24"/>
          <w:szCs w:val="24"/>
          <w:vertAlign w:val="baseline"/>
          <w:lang w:eastAsia="en-US"/>
        </w:rPr>
        <w:t>Оказывается на поверхности Ф</w:t>
      </w:r>
      <w:r>
        <w:rPr>
          <w:rFonts w:eastAsia="NSimSun" w:cs="Mangal"/>
          <w:kern w:val="2"/>
          <w:sz w:val="24"/>
          <w:szCs w:val="24"/>
          <w:vertAlign w:val="subscript"/>
          <w:lang w:eastAsia="en-US"/>
        </w:rPr>
        <w:t>ф</w:t>
      </w:r>
      <w:r>
        <w:rPr>
          <w:rFonts w:eastAsia="NSimSun" w:cs="Mangal"/>
          <w:kern w:val="2"/>
          <w:sz w:val="24"/>
          <w:szCs w:val="24"/>
          <w:lang w:eastAsia="en-US"/>
        </w:rPr>
        <w:t>. Следовательно Ки высокий, близкий к 1.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Светодиодная лампа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4"/>
          <w:szCs w:val="24"/>
          <w:lang w:eastAsia="en-US"/>
        </w:rPr>
      </w:pPr>
      <w:r>
        <w:rPr>
          <w:rFonts w:eastAsia="NSimSun" w:cs="Mangal"/>
          <w:kern w:val="2"/>
          <w:sz w:val="24"/>
          <w:szCs w:val="24"/>
          <w:lang w:eastAsia="en-US"/>
        </w:rPr>
        <w:t>Рассеивание света ограничено из за формы, потому Ки выше, по сравнению, например, с лампой накаливания.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</w:r>
      <w:r>
        <w:br w:type="page"/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/>
      </w:pPr>
      <w:r>
        <w:rPr>
          <w:rFonts w:eastAsia="NSimSun" w:cs="Mangal"/>
          <w:kern w:val="2"/>
          <w:sz w:val="28"/>
          <w:szCs w:val="28"/>
          <w:lang w:eastAsia="en-US"/>
        </w:rPr>
        <w:t>Фактический световой поток: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/>
          <w:i/>
          <w:kern w:val="2"/>
          <w:sz w:val="28"/>
          <w:szCs w:val="28"/>
          <w:lang w:val="en-US" w:eastAsia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Ф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  <m:r>
          <w:rPr>
            <w:rFonts w:ascii="Cambria Math" w:hAnsi="Cambria Math"/>
          </w:rPr>
          <m:t xml:space="preserve">S</m:t>
        </m:r>
      </m:oMath>
    </w:p>
    <w:p>
      <w:pPr>
        <w:pStyle w:val="Normal"/>
        <w:suppressAutoHyphens w:val="true"/>
        <w:spacing w:lineRule="auto" w:line="360"/>
        <w:ind w:firstLine="708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</m:oMath>
      <w:r>
        <w:rPr>
          <w:rFonts w:eastAsia="NSimSun" w:cs="Mangal"/>
          <w:kern w:val="2"/>
          <w:sz w:val="28"/>
          <w:lang w:eastAsia="en-US"/>
        </w:rPr>
        <w:t xml:space="preserve"> – площадь макета помещения,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– средняя освещенность.</w:t>
      </w:r>
    </w:p>
    <w:p>
      <w:pPr>
        <w:pStyle w:val="Normal"/>
        <w:suppressAutoHyphens w:val="true"/>
        <w:spacing w:lineRule="auto" w:line="360"/>
        <w:ind w:firstLine="708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Среднее значение освещенности: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/>
          <w:i/>
          <w:iCs/>
          <w:kern w:val="2"/>
          <w:sz w:val="28"/>
          <w:szCs w:val="28"/>
          <w:lang w:eastAsia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ср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</m:oMath>
    </w:p>
    <w:p>
      <w:pPr>
        <w:pStyle w:val="Normal"/>
        <w:suppressAutoHyphens w:val="true"/>
        <w:spacing w:lineRule="auto" w:line="360" w:before="0" w:after="0"/>
        <w:ind w:firstLine="709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>Коэффициент использования осветительной установки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>:</w:t>
      </w:r>
    </w:p>
    <w:p>
      <w:pPr>
        <w:pStyle w:val="Normal"/>
        <w:suppressAutoHyphens w:val="true"/>
        <w:spacing w:lineRule="auto" w:line="360" w:before="0" w:after="0"/>
        <w:ind w:firstLine="709"/>
        <w:contextualSpacing/>
        <w:jc w:val="center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Φ</m:t>
                </m:r>
              </m:e>
              <m:sub>
                <m:r>
                  <w:rPr>
                    <w:rFonts w:ascii="Cambria Math" w:hAnsi="Cambria Math"/>
                  </w:rPr>
                  <m:t xml:space="preserve">ф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Φ</m:t>
                </m:r>
              </m:e>
              <m:sub>
                <m:r>
                  <w:rPr>
                    <w:rFonts w:ascii="Cambria Math" w:hAnsi="Cambria Math"/>
                  </w:rPr>
                  <m:t xml:space="preserve">ист</m:t>
                </m:r>
              </m:sub>
            </m:sSub>
          </m:den>
        </m:f>
      </m:oMath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szCs w:val="28"/>
          <w:lang w:eastAsia="en-US"/>
        </w:rPr>
        <w:t xml:space="preserve">Номинальные значения светового потока ламп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Ф</m:t>
            </m:r>
          </m:e>
          <m:sub>
            <m:r>
              <w:rPr>
                <w:rFonts w:ascii="Cambria Math" w:hAnsi="Cambria Math"/>
              </w:rPr>
              <m:t xml:space="preserve">ист</m:t>
            </m:r>
          </m:sub>
        </m:sSub>
      </m:oMath>
      <w:r>
        <w:rPr>
          <w:rFonts w:eastAsia="NSimSun" w:cs="Mangal"/>
          <w:kern w:val="2"/>
          <w:sz w:val="28"/>
          <w:szCs w:val="28"/>
          <w:lang w:eastAsia="en-US"/>
        </w:rPr>
        <w:t xml:space="preserve"> согласно описанию установки:</w:t>
      </w:r>
    </w:p>
    <w:p>
      <w:pPr>
        <w:pStyle w:val="Normal"/>
        <w:suppressAutoHyphens w:val="true"/>
        <w:spacing w:lineRule="auto" w:line="360" w:before="0" w:after="0"/>
        <w:contextualSpacing/>
        <w:jc w:val="center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/>
        <w:drawing>
          <wp:inline distT="0" distB="0" distL="0" distR="0">
            <wp:extent cx="5326380" cy="2119630"/>
            <wp:effectExtent l="0" t="0" r="0" b="0"/>
            <wp:docPr id="10" name="Рисунок 12" descr="https://sun9-28.userapi.com/impg/GqnXUNrc2eAuAowfbvGGcfBozVU7-n6z8Mkzpw/V-0MsK1l3IE.jpg?size=1280x960&amp;quality=96&amp;sign=ed0a7fb1e0551f806b68a02acf6de5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https://sun9-28.userapi.com/impg/GqnXUNrc2eAuAowfbvGGcfBozVU7-n6z8Mkzpw/V-0MsK1l3IE.jpg?size=1280x960&amp;quality=96&amp;sign=ed0a7fb1e0551f806b68a02acf6de5b2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22" t="40374" r="34975" b="26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Были вычислены средние значения освещенности, фактический световой поток, коэффициент использования осветительной установки для различных типов ламп при светлых и темных стенках представлены в табл. 6, 7.</w:t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6 – Ки освет. установки (темные стенки)</w:t>
      </w:r>
    </w:p>
    <w:tbl>
      <w:tblPr>
        <w:tblStyle w:val="1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260"/>
        <w:gridCol w:w="1664"/>
        <w:gridCol w:w="1560"/>
        <w:gridCol w:w="1543"/>
        <w:gridCol w:w="1764"/>
        <w:gridCol w:w="1553"/>
      </w:tblGrid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Параметр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№1 Люминесц., 9Вт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№4, Люминесц., 13Вт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№5, Светод., 12 Вт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№6, Накаливания, 60Вт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254,5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bookmarkStart w:id="4" w:name="_Hlk91516298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399,8</w:t>
            </w:r>
            <w:bookmarkEnd w:id="4"/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553,6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295,4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410,8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266,0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606,8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933,3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439,2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2705,4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264,5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705,3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1120,6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560,0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6412,9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261,6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713,1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890,3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474,0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2866,9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202,1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631,5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bookmarkStart w:id="5" w:name="_Hlk91523611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537,2</w:t>
            </w:r>
            <w:bookmarkEnd w:id="5"/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321,1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Style19"/>
              <w:spacing w:lineRule="auto" w:line="240" w:before="120" w:after="0"/>
              <w:rPr>
                <w:sz w:val="24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397,1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ср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249,74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611,3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807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417,94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2558,62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ф</m:t>
                  </m:r>
                </m:sub>
              </m:sSub>
            </m:oMath>
          </w:p>
        </w:tc>
        <w:tc>
          <w:tcPr>
            <w:tcW w:w="16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104,8908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256,746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338,94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175,5348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4"/>
                <w:lang w:eastAsia="en-US"/>
              </w:rPr>
              <w:t>1074,62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  <w:vAlign w:val="cente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lang w:eastAsia="en-US"/>
              </w:rPr>
            </w:pPr>
            <w:r>
              <w:rPr>
                <w:b/>
                <w:bCs/>
                <w:szCs w:val="24"/>
                <w:lang w:eastAsia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η</m:t>
              </m:r>
            </m:oMath>
          </w:p>
        </w:tc>
        <w:tc>
          <w:tcPr>
            <w:tcW w:w="16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b/>
                <w:bCs/>
                <w:kern w:val="2"/>
                <w:szCs w:val="24"/>
                <w:lang w:eastAsia="en-US"/>
              </w:rPr>
              <w:t>0,174818</w:t>
            </w:r>
          </w:p>
        </w:tc>
        <w:tc>
          <w:tcPr>
            <w:tcW w:w="1560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b/>
                <w:bCs/>
                <w:kern w:val="2"/>
                <w:szCs w:val="24"/>
                <w:lang w:eastAsia="en-US"/>
              </w:rPr>
              <w:t>0,570547</w:t>
            </w:r>
          </w:p>
        </w:tc>
        <w:tc>
          <w:tcPr>
            <w:tcW w:w="154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b/>
                <w:bCs/>
                <w:kern w:val="2"/>
                <w:szCs w:val="24"/>
                <w:lang w:eastAsia="en-US"/>
              </w:rPr>
              <w:t>0,521446</w:t>
            </w:r>
          </w:p>
        </w:tc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b/>
                <w:bCs/>
                <w:kern w:val="2"/>
                <w:szCs w:val="24"/>
                <w:lang w:eastAsia="en-US"/>
              </w:rPr>
              <w:t>0,247232</w:t>
            </w:r>
          </w:p>
        </w:tc>
        <w:tc>
          <w:tcPr>
            <w:tcW w:w="155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kern w:val="2"/>
                <w:lang w:eastAsia="en-US"/>
              </w:rPr>
            </w:pPr>
            <w:r>
              <w:rPr>
                <w:rFonts w:eastAsia="Times New Roman" w:cs="Times New Roman"/>
                <w:b/>
                <w:bCs/>
                <w:kern w:val="2"/>
                <w:szCs w:val="24"/>
                <w:lang w:eastAsia="en-US"/>
              </w:rPr>
              <w:t>1,264259</w:t>
            </w:r>
            <w:bookmarkStart w:id="6" w:name="_Hlk87021799"/>
            <w:bookmarkEnd w:id="6"/>
          </w:p>
        </w:tc>
      </w:tr>
    </w:tbl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</w:r>
    </w:p>
    <w:p>
      <w:pPr>
        <w:pStyle w:val="Normal"/>
        <w:suppressAutoHyphens w:val="true"/>
        <w:spacing w:lineRule="auto" w:line="360" w:before="120" w:after="0"/>
        <w:jc w:val="both"/>
        <w:textAlignment w:val="baseline"/>
        <w:rPr>
          <w:kern w:val="2"/>
          <w:sz w:val="28"/>
          <w:szCs w:val="28"/>
          <w:lang w:eastAsia="en-US"/>
        </w:rPr>
      </w:pPr>
      <w:r>
        <w:rPr>
          <w:kern w:val="2"/>
          <w:sz w:val="28"/>
          <w:szCs w:val="28"/>
          <w:lang w:eastAsia="en-US"/>
        </w:rPr>
        <w:t>Таблица 7 – Ки освет. установки (светлые стенки)</w:t>
      </w:r>
    </w:p>
    <w:tbl>
      <w:tblPr>
        <w:tblStyle w:val="1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260"/>
        <w:gridCol w:w="1664"/>
        <w:gridCol w:w="1560"/>
        <w:gridCol w:w="1543"/>
        <w:gridCol w:w="1764"/>
        <w:gridCol w:w="1553"/>
      </w:tblGrid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Параметр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№1, Люминесц., 9Вт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№4, Люминесц., 13Вт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№5, Светод., 12 Вт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№6, Накаливания, 60Вт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Лампа №7, Галог., 50 Вт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>
                <w:szCs w:val="24"/>
                <w:lang w:eastAsia="ru-RU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лк</m:t>
              </m:r>
            </m:oMath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464,0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bookmarkStart w:id="7" w:name="_Hlk91516206"/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708,9</w:t>
            </w:r>
            <w:bookmarkEnd w:id="7"/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841,7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441,2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620,5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472,5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876,0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1203,1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582,5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2712,2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455,1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984,8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1403,9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659,0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6031,3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434,1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1060,5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1203,9</w:t>
            </w:r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610,5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3040,0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Normal"/>
              <w:suppressAutoHyphens w:val="true"/>
              <w:spacing w:lineRule="auto" w:line="240" w:before="120" w:after="0"/>
              <w:jc w:val="center"/>
              <w:textAlignment w:val="baseline"/>
              <w:rPr>
                <w:kern w:val="2"/>
                <w:szCs w:val="22"/>
                <w:lang w:eastAsia="en-US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Times New Roman" w:cs="Times New Roman"/>
                <w:kern w:val="2"/>
                <w:szCs w:val="22"/>
                <w:lang w:eastAsia="en-US"/>
              </w:rPr>
              <w:t>лк</w:t>
            </w:r>
          </w:p>
        </w:tc>
        <w:tc>
          <w:tcPr>
            <w:tcW w:w="16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368,9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998,6</w:t>
            </w:r>
          </w:p>
        </w:tc>
        <w:tc>
          <w:tcPr>
            <w:tcW w:w="154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bookmarkStart w:id="8" w:name="_Hlk91523582"/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825,3</w:t>
            </w:r>
            <w:bookmarkEnd w:id="8"/>
          </w:p>
        </w:tc>
        <w:tc>
          <w:tcPr>
            <w:tcW w:w="1764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501,0</w:t>
            </w:r>
          </w:p>
        </w:tc>
        <w:tc>
          <w:tcPr>
            <w:tcW w:w="1553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598,2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ср</m:t>
                  </m:r>
                </m:sub>
              </m:sSub>
              <m:r>
                <w:rPr>
                  <w:rFonts w:ascii="Cambria Math" w:hAnsi="Cambria Math"/>
                </w:rPr>
                <m:t xml:space="preserve">,</m:t>
              </m:r>
            </m:oMath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лк</w:t>
            </w:r>
          </w:p>
        </w:tc>
        <w:tc>
          <w:tcPr>
            <w:tcW w:w="16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438,92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925,76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1095,58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558,84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2600,44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ф</m:t>
                  </m:r>
                </m:sub>
              </m:sSub>
            </m:oMath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, лм</w:t>
            </w:r>
          </w:p>
        </w:tc>
        <w:tc>
          <w:tcPr>
            <w:tcW w:w="16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184,3464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388,8192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460,1436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234,7128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sz w:val="24"/>
                <w:szCs w:val="22"/>
                <w:lang w:eastAsia="ru-RU"/>
              </w:rPr>
              <w:t>1092,185</w:t>
            </w:r>
          </w:p>
        </w:tc>
      </w:tr>
      <w:tr>
        <w:trPr>
          <w:trHeight w:val="271" w:hRule="atLeast"/>
        </w:trPr>
        <w:tc>
          <w:tcPr>
            <w:tcW w:w="1260" w:type="dxa"/>
            <w:tcBorders/>
            <w:shd w:fill="auto" w:val="clear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b/>
                <w:bCs/>
                <w:szCs w:val="24"/>
                <w:lang w:eastAsia="ru-RU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η</m:t>
              </m:r>
            </m:oMath>
          </w:p>
        </w:tc>
        <w:tc>
          <w:tcPr>
            <w:tcW w:w="16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2"/>
                <w:lang w:eastAsia="ru-RU"/>
              </w:rPr>
              <w:t>0,307244</w:t>
            </w:r>
          </w:p>
        </w:tc>
        <w:tc>
          <w:tcPr>
            <w:tcW w:w="1560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2"/>
                <w:lang w:eastAsia="ru-RU"/>
              </w:rPr>
              <w:t>0,864043</w:t>
            </w:r>
          </w:p>
        </w:tc>
        <w:tc>
          <w:tcPr>
            <w:tcW w:w="154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2"/>
                <w:lang w:eastAsia="ru-RU"/>
              </w:rPr>
              <w:t>0,707913</w:t>
            </w:r>
          </w:p>
        </w:tc>
        <w:tc>
          <w:tcPr>
            <w:tcW w:w="1764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2"/>
                <w:lang w:eastAsia="ru-RU"/>
              </w:rPr>
              <w:t>0,330581</w:t>
            </w:r>
          </w:p>
        </w:tc>
        <w:tc>
          <w:tcPr>
            <w:tcW w:w="1553" w:type="dxa"/>
            <w:tcBorders/>
            <w:shd w:fill="auto" w:val="clear"/>
            <w:vAlign w:val="bottom"/>
          </w:tcPr>
          <w:p>
            <w:pPr>
              <w:pStyle w:val="Style19"/>
              <w:spacing w:lineRule="auto" w:line="240" w:before="120" w:after="0"/>
              <w:rPr>
                <w:sz w:val="24"/>
                <w:szCs w:val="2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2"/>
                <w:lang w:eastAsia="ru-RU"/>
              </w:rPr>
              <w:t>1,284923</w:t>
            </w:r>
          </w:p>
        </w:tc>
      </w:tr>
    </w:tbl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Люминесцентная лампа №1 имеет низкий Ки. Она распространяет свет во все стороны, а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лишь на нижней части установки, соответственно коэффициент использования осветительной установки был получен низким.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Люминесцентная лампа №4 имеет Ки 0,86 (при светлых стенках), что говорит о том, что она практически соответствует </w:t>
      </w:r>
      <w:r>
        <w:rPr>
          <w:rFonts w:eastAsia="NSimSun" w:cs="Mangal"/>
          <w:kern w:val="2"/>
          <w:sz w:val="28"/>
          <w:szCs w:val="28"/>
          <w:lang w:eastAsia="en-US"/>
        </w:rPr>
        <w:t>номинальному значению светового потока.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sz w:val="28"/>
          <w:szCs w:val="28"/>
          <w:highlight w:val="white"/>
        </w:rPr>
      </w:pPr>
      <w:r>
        <w:rPr>
          <w:rFonts w:eastAsia="NSimSun" w:cs="Mangal"/>
          <w:kern w:val="2"/>
          <w:sz w:val="28"/>
          <w:lang w:eastAsia="en-US"/>
        </w:rPr>
        <w:t xml:space="preserve">Светодиодная лампа №5 имеет достаточно хороший Ки, </w:t>
      </w:r>
      <w:r>
        <w:rPr>
          <w:sz w:val="28"/>
          <w:szCs w:val="28"/>
          <w:shd w:fill="FFFFFF" w:val="clear"/>
        </w:rPr>
        <w:t>так как её рассеиватель сделан в виде полусферы, что позволяет не распространять свет на верхнюю часть установки.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Лампа накаливания №6 имеет низкий Ки. Она распространяет свет во все стороны (аналогично люминесцентной), а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лишь на нижней части установки, соответственно коэффициент использования осветительной установки был получен низким.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Галогеновая лампа №7 имеет высокий показатель Ки. Она </w:t>
      </w:r>
      <w:r>
        <w:rPr>
          <w:sz w:val="28"/>
          <w:szCs w:val="28"/>
          <w:shd w:fill="FFFFFF" w:val="clear"/>
        </w:rPr>
        <w:t xml:space="preserve">имеет строение, которое направляет свет преимущественно в одну сторону (преимущественно в нижнюю часть установки), </w:t>
      </w:r>
      <w:r>
        <w:rPr>
          <w:rFonts w:eastAsia="NSimSun" w:cs="Mangal"/>
          <w:kern w:val="2"/>
          <w:sz w:val="28"/>
          <w:lang w:eastAsia="en-US"/>
        </w:rPr>
        <w:t xml:space="preserve">а так как измерения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</m:oMath>
      <w:r>
        <w:rPr>
          <w:rFonts w:eastAsia="NSimSun" w:cs="Mangal"/>
          <w:iCs/>
          <w:kern w:val="2"/>
          <w:sz w:val="28"/>
          <w:szCs w:val="28"/>
          <w:lang w:eastAsia="en-US"/>
        </w:rPr>
        <w:t xml:space="preserve"> производились именно на нижней части установки, то и коэффициент использования осветительной установки был получен высоким.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iCs/>
          <w:kern w:val="2"/>
          <w:sz w:val="28"/>
          <w:szCs w:val="28"/>
          <w:lang w:eastAsia="en-US"/>
        </w:rPr>
      </w:pPr>
      <w:r>
        <w:rPr>
          <w:rFonts w:eastAsia="NSimSun" w:cs="Mangal"/>
          <w:iCs/>
          <w:kern w:val="2"/>
          <w:sz w:val="28"/>
          <w:szCs w:val="28"/>
          <w:lang w:eastAsia="en-US"/>
        </w:rPr>
        <w:t>Кроме того, было выявлено, что при темных стенках значения Ки ламп ниже, чем при светлых. Это происходит из-за того, что темный материл поглощает свет.</w:t>
      </w:r>
    </w:p>
    <w:p>
      <w:pPr>
        <w:pStyle w:val="Normal"/>
        <w:suppressAutoHyphens w:val="true"/>
        <w:textAlignment w:val="baseline"/>
        <w:rPr>
          <w:b/>
          <w:b/>
          <w:bCs/>
          <w:kern w:val="2"/>
          <w:sz w:val="28"/>
          <w:szCs w:val="28"/>
          <w:lang w:eastAsia="en-US"/>
        </w:rPr>
      </w:pPr>
      <w:r>
        <w:rPr>
          <w:b/>
          <w:bCs/>
          <w:kern w:val="2"/>
          <w:sz w:val="28"/>
          <w:szCs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применимости ламп к пятому разряду работы по СНИП 23-05-95 по видам освещения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Нормы освещения из СНИП 23-05-95 для пятого разряда зрительных работ.</w:t>
      </w:r>
    </w:p>
    <w:p>
      <w:pPr>
        <w:pStyle w:val="Normal"/>
        <w:suppressAutoHyphens w:val="true"/>
        <w:spacing w:lineRule="auto" w:line="360" w:before="120" w:after="0"/>
        <w:jc w:val="center"/>
        <w:textAlignment w:val="baseline"/>
        <w:rPr>
          <w:kern w:val="2"/>
          <w:sz w:val="28"/>
          <w:lang w:eastAsia="en-US"/>
        </w:rPr>
      </w:pPr>
      <w:r>
        <w:rPr/>
        <mc:AlternateContent>
          <mc:Choice Requires="wps">
            <w:drawing>
              <wp:inline distT="0" distB="0" distL="0" distR="0" wp14:anchorId="19AA26D4">
                <wp:extent cx="6073775" cy="3053080"/>
                <wp:effectExtent l="0" t="0" r="0" b="0"/>
                <wp:docPr id="11" name="Рисунок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1" descr=""/>
                        <pic:cNvPicPr/>
                      </pic:nvPicPr>
                      <pic:blipFill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073200" cy="30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1" stroked="f" style="position:absolute;margin-left:0pt;margin-top:-240.4pt;width:478.15pt;height:240.3pt;mso-position-vertical:top" wp14:anchorId="19AA26D4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uppressAutoHyphens w:val="true"/>
        <w:spacing w:lineRule="auto" w:line="360" w:before="120" w:after="0"/>
        <w:jc w:val="center"/>
        <w:textAlignment w:val="baseline"/>
        <w:rPr>
          <w:kern w:val="2"/>
          <w:sz w:val="28"/>
          <w:lang w:eastAsia="en-US"/>
        </w:rPr>
      </w:pPr>
      <w:r>
        <w:rPr/>
        <w:drawing>
          <wp:inline distT="0" distB="0" distL="0" distR="0">
            <wp:extent cx="6072505" cy="2088515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/>
      </w:pPr>
      <w:r>
        <w:rPr/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люминесцентная №1 не соответствует данному разряду работ, так как её Кп превышает 20%.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 xml:space="preserve">Лампа люминесцентная №4 удовлетворяет значению Кп, при светлых стенках имеет минимальную освещенность 708,9 лк, а при темных – 399,8 лк, следовательно, удовлетворяет подразряду “а”. 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светодиодная №5 удовлетворяет значению Кп, при светлых стенках имеет минимальную освещенность 825,3 лк, а при темных – 537,2 лк, следовательно, удовлетворяет подразряду “а”.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удовлетворяет значению Кп, при светлых стенках имеет минимальную освещенность 441,2 лк, следовательно, удовлетворяет подразряду “а”, а при темных – 295,4 – удовлетворяет подразряду “б”.</w:t>
      </w:r>
    </w:p>
    <w:p>
      <w:pPr>
        <w:pStyle w:val="Normal"/>
        <w:suppressAutoHyphens w:val="true"/>
        <w:spacing w:lineRule="auto" w:line="360" w:before="0" w:after="0"/>
        <w:contextualSpacing/>
        <w:jc w:val="both"/>
        <w:textAlignment w:val="baseline"/>
        <w:rPr>
          <w:rFonts w:eastAsia="NSimSun" w:cs="Mangal"/>
          <w:kern w:val="2"/>
          <w:sz w:val="28"/>
          <w:lang w:eastAsia="en-US"/>
        </w:rPr>
      </w:pPr>
      <w:bookmarkStart w:id="9" w:name="_Hlk89028464"/>
      <w:r>
        <w:rPr>
          <w:rFonts w:eastAsia="NSimSun" w:cs="Mangal"/>
          <w:kern w:val="2"/>
          <w:sz w:val="28"/>
          <w:lang w:eastAsia="en-US"/>
        </w:rPr>
        <w:t>Галогеновая лампа №7 удовлетворяет значению Кп, при светлых стенках имеет минимальную освещенность 598,2 лк, а при темных – 397,1 лк, следовательно, удовлетворяет подразряду “а”.</w:t>
      </w:r>
      <w:bookmarkEnd w:id="9"/>
    </w:p>
    <w:p>
      <w:pPr>
        <w:pStyle w:val="Normal"/>
        <w:suppressAutoHyphens w:val="true"/>
        <w:textAlignment w:val="baseline"/>
        <w:rPr>
          <w:b/>
          <w:b/>
          <w:bCs/>
          <w:kern w:val="2"/>
          <w:sz w:val="28"/>
          <w:szCs w:val="28"/>
          <w:lang w:eastAsia="en-US"/>
        </w:rPr>
      </w:pPr>
      <w:r>
        <w:rPr>
          <w:b/>
          <w:bCs/>
          <w:kern w:val="2"/>
          <w:sz w:val="28"/>
          <w:szCs w:val="28"/>
          <w:lang w:eastAsia="en-US"/>
        </w:rPr>
      </w:r>
    </w:p>
    <w:p>
      <w:pPr>
        <w:pStyle w:val="Normal"/>
        <w:keepNext w:val="true"/>
        <w:numPr>
          <w:ilvl w:val="0"/>
          <w:numId w:val="0"/>
        </w:numPr>
        <w:suppressAutoHyphens w:val="true"/>
        <w:spacing w:lineRule="auto" w:line="360"/>
        <w:jc w:val="both"/>
        <w:textAlignment w:val="baseline"/>
        <w:outlineLvl w:val="1"/>
        <w:rPr>
          <w:bCs/>
          <w:i/>
          <w:i/>
          <w:kern w:val="2"/>
          <w:sz w:val="28"/>
          <w:szCs w:val="28"/>
          <w:lang w:eastAsia="en-US"/>
        </w:rPr>
      </w:pPr>
      <w:r>
        <w:rPr>
          <w:bCs/>
          <w:i/>
          <w:kern w:val="2"/>
          <w:sz w:val="28"/>
          <w:szCs w:val="28"/>
          <w:lang w:eastAsia="en-US"/>
        </w:rPr>
        <w:t>Анализ стробоскопического эффекта</w:t>
      </w:r>
    </w:p>
    <w:p>
      <w:pPr>
        <w:pStyle w:val="Normal"/>
        <w:spacing w:lineRule="auto" w:line="360" w:before="0" w:after="160"/>
        <w:ind w:left="360" w:hanging="0"/>
        <w:jc w:val="both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При освещении движущихся или вращающихся предметов пульсирующим световым потоком может появиться стробоскопический эффект, связанный с искажением зрительного восприятия.</w:t>
      </w:r>
    </w:p>
    <w:p>
      <w:pPr>
        <w:pStyle w:val="Normal"/>
        <w:spacing w:lineRule="auto" w:line="360" w:before="0" w:after="160"/>
        <w:ind w:left="360" w:hanging="0"/>
        <w:jc w:val="both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При включении одной лампы наблюдался стробоскопический эффект из-за больших пульсаций светового потока. При включении трех ламп также наблюдался стробоскопический эффект, но уже слабее, потому что пульсация суммарного светового потока значительно слабее.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Например, работа по изготовлению ожерелья из бус (размер бусинки св. 1-5 мм). Данный тип работы относится к разряду 5.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Для данного разряда необходим Кп не превышающий 20%. Из всех лам, лампа люминесцентная №1 не соответствует данному значению, так как её Кп превышает 20%.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Лампа накаливания №6 удовлетворяет значению Кп, при светлых стенках имеет минимальную освещенность 441,2 лк, следовательно, удовлетворяет подразряду “а”, а при темных – 295,4 – удовлетворяет подразряду “б”.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Остальные лампы удовлетворяют значению Кп и требованию по общему освещению Е больше или равно 300 лк.</w:t>
      </w:r>
    </w:p>
    <w:p>
      <w:pPr>
        <w:pStyle w:val="Normal"/>
        <w:spacing w:lineRule="auto" w:line="360"/>
        <w:rPr>
          <w:rFonts w:eastAsia="NSimSun" w:cs="Mangal"/>
          <w:kern w:val="2"/>
          <w:sz w:val="28"/>
          <w:lang w:eastAsia="en-US"/>
        </w:rPr>
      </w:pPr>
      <w:r>
        <w:rPr>
          <w:rFonts w:eastAsia="NSimSun" w:cs="Mangal"/>
          <w:kern w:val="2"/>
          <w:sz w:val="28"/>
          <w:lang w:eastAsia="en-US"/>
        </w:rPr>
        <w:t>Таким образом, все лампы, кроме люминесцентной №1 удовлетворяют данному разряду.</w:t>
      </w:r>
    </w:p>
    <w:p>
      <w:pPr>
        <w:pStyle w:val="Normal"/>
        <w:spacing w:lineRule="auto" w:line="360" w:before="0" w:after="160"/>
        <w:ind w:left="360" w:hanging="0"/>
        <w:jc w:val="both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701" w:right="850" w:header="708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5289971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48207b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basedOn w:val="DefaultParagraphFont"/>
    <w:link w:val="Times1420"/>
    <w:qFormat/>
    <w:locked/>
    <w:rsid w:val="0048207b"/>
    <w:rPr>
      <w:rFonts w:ascii="Times New Roman" w:hAnsi="Times New Roman" w:eastAsia="Times New Roman" w:cs="Times New Roman"/>
      <w:sz w:val="28"/>
      <w:szCs w:val="24"/>
    </w:rPr>
  </w:style>
  <w:style w:type="character" w:styleId="BookTitle">
    <w:name w:val="Book Title"/>
    <w:basedOn w:val="DefaultParagraphFont"/>
    <w:uiPriority w:val="33"/>
    <w:qFormat/>
    <w:rsid w:val="0048207b"/>
    <w:rPr>
      <w:b/>
      <w:bCs/>
      <w:smallCaps/>
      <w:spacing w:val="5"/>
    </w:rPr>
  </w:style>
  <w:style w:type="character" w:styleId="Style14" w:customStyle="1">
    <w:name w:val="П. Таблица Знак"/>
    <w:basedOn w:val="DefaultParagraphFont"/>
    <w:link w:val="a6"/>
    <w:qFormat/>
    <w:rsid w:val="004b5db0"/>
    <w:rPr>
      <w:rFonts w:ascii="Times New Roman" w:hAnsi="Times New Roman" w:eastAsia="Times New Roman" w:cs="Times New Roman"/>
      <w:kern w:val="2"/>
      <w:sz w:val="28"/>
      <w:szCs w:val="28"/>
    </w:rPr>
  </w:style>
  <w:style w:type="character" w:styleId="Style15" w:customStyle="1">
    <w:name w:val="Таблица Знак"/>
    <w:basedOn w:val="DefaultParagraphFont"/>
    <w:link w:val="a8"/>
    <w:qFormat/>
    <w:rsid w:val="004b5db0"/>
    <w:rPr>
      <w:rFonts w:ascii="Times New Roman" w:hAnsi="Times New Roman" w:eastAsia="Times New Roman" w:cs="Times New Roman"/>
      <w:kern w:val="2"/>
      <w:sz w:val="28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933cdf"/>
    <w:rPr/>
  </w:style>
  <w:style w:type="character" w:styleId="Style16" w:customStyle="1">
    <w:name w:val="Верхний колонтитул Знак"/>
    <w:basedOn w:val="DefaultParagraphFont"/>
    <w:link w:val="ab"/>
    <w:uiPriority w:val="99"/>
    <w:qFormat/>
    <w:rsid w:val="00933cdf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Нижний колонтитул Знак"/>
    <w:basedOn w:val="DefaultParagraphFont"/>
    <w:link w:val="ad"/>
    <w:uiPriority w:val="99"/>
    <w:qFormat/>
    <w:rsid w:val="00933cdf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Symbol"/>
      <w:sz w:val="28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8207b"/>
    <w:pPr>
      <w:spacing w:before="0" w:after="0"/>
      <w:ind w:left="720" w:hanging="0"/>
      <w:contextualSpacing/>
    </w:pPr>
    <w:rPr/>
  </w:style>
  <w:style w:type="paragraph" w:styleId="Times1421" w:customStyle="1">
    <w:name w:val="Times14_РИО2"/>
    <w:basedOn w:val="Normal"/>
    <w:link w:val="Times142"/>
    <w:qFormat/>
    <w:rsid w:val="0048207b"/>
    <w:pPr>
      <w:tabs>
        <w:tab w:val="left" w:pos="709" w:leader="none"/>
      </w:tabs>
      <w:spacing w:lineRule="auto" w:line="312"/>
      <w:ind w:firstLine="709"/>
      <w:jc w:val="both"/>
    </w:pPr>
    <w:rPr>
      <w:sz w:val="28"/>
      <w:lang w:eastAsia="en-US"/>
    </w:rPr>
  </w:style>
  <w:style w:type="paragraph" w:styleId="Style18" w:customStyle="1">
    <w:name w:val="П. Таблица"/>
    <w:basedOn w:val="Normal"/>
    <w:link w:val="a7"/>
    <w:qFormat/>
    <w:rsid w:val="004b5db0"/>
    <w:pPr>
      <w:suppressAutoHyphens w:val="true"/>
      <w:spacing w:lineRule="auto" w:line="360" w:before="120" w:after="0"/>
      <w:jc w:val="both"/>
      <w:textAlignment w:val="baseline"/>
    </w:pPr>
    <w:rPr>
      <w:kern w:val="2"/>
      <w:sz w:val="28"/>
      <w:szCs w:val="28"/>
      <w:lang w:eastAsia="en-US"/>
    </w:rPr>
  </w:style>
  <w:style w:type="paragraph" w:styleId="Style19" w:customStyle="1">
    <w:name w:val="Таблица"/>
    <w:basedOn w:val="Normal"/>
    <w:link w:val="a9"/>
    <w:qFormat/>
    <w:rsid w:val="004b5db0"/>
    <w:pPr>
      <w:suppressAutoHyphens w:val="true"/>
      <w:spacing w:before="120" w:after="120"/>
      <w:jc w:val="center"/>
      <w:textAlignment w:val="baseline"/>
    </w:pPr>
    <w:rPr>
      <w:kern w:val="2"/>
      <w:sz w:val="28"/>
      <w:lang w:eastAsia="en-US"/>
    </w:rPr>
  </w:style>
  <w:style w:type="paragraph" w:styleId="Header">
    <w:name w:val="Header"/>
    <w:basedOn w:val="Normal"/>
    <w:link w:val="ac"/>
    <w:uiPriority w:val="99"/>
    <w:unhideWhenUsed/>
    <w:rsid w:val="00933cdf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e"/>
    <w:uiPriority w:val="99"/>
    <w:unhideWhenUsed/>
    <w:rsid w:val="00933cdf"/>
    <w:pPr>
      <w:tabs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48207b"/>
    <w:pPr>
      <w:spacing w:after="0" w:line="240" w:lineRule="auto"/>
    </w:pPr>
    <w:rPr>
      <w:lang w:eastAsia="ru-RU"/>
      <w:sz w:val="20"/>
      <w:szCs w:val="20"/>
    </w:rPr>
    <w:tblPr>
      <w:tblInd w:w="0" w:type="nil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1">
    <w:name w:val="Сетка таблицы1"/>
    <w:basedOn w:val="a1"/>
    <w:uiPriority w:val="59"/>
    <w:rsid w:val="00062543"/>
    <w:pPr>
      <w:spacing w:after="0" w:line="240" w:lineRule="auto"/>
    </w:pPr>
    <w:rPr>
      <w:lang w:eastAsia="ru-RU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chart" Target="charts/chart1.xml"/><Relationship Id="rId4" Type="http://schemas.openxmlformats.org/officeDocument/2006/relationships/chart" Target="charts/chart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chart" Target="charts/chart3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microsoft.com/office/2007/relationships/hdphoto" Target="media/hdphoto1.wdp"/><Relationship Id="rId14" Type="http://schemas.openxmlformats.org/officeDocument/2006/relationships/image" Target="media/image9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300" spc="-1" strike="noStrike">
                <a:solidFill>
                  <a:srgbClr val="000000"/>
                </a:solidFill>
                <a:latin typeface="Arial"/>
              </a:defRPr>
            </a:pPr>
            <a:r>
              <a:rPr b="0" sz="1300" spc="-1" strike="noStrike">
                <a:solidFill>
                  <a:srgbClr val="000000"/>
                </a:solidFill>
                <a:latin typeface="Arial"/>
              </a:rPr>
              <a:t>Освещённость от положения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Лампа №1 Люминесц., 9Вт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254.5</c:v>
                </c:pt>
                <c:pt idx="1">
                  <c:v>266</c:v>
                </c:pt>
                <c:pt idx="2">
                  <c:v>264.5</c:v>
                </c:pt>
                <c:pt idx="3">
                  <c:v>261.6</c:v>
                </c:pt>
                <c:pt idx="4">
                  <c:v>202.1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Лампа №4, Люминесц., 13Вт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399.8</c:v>
                </c:pt>
                <c:pt idx="1">
                  <c:v>606.8</c:v>
                </c:pt>
                <c:pt idx="2">
                  <c:v>705.3</c:v>
                </c:pt>
                <c:pt idx="3">
                  <c:v>713.1</c:v>
                </c:pt>
                <c:pt idx="4">
                  <c:v>631.5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Лампа №5, Светод., 12 Вт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553.6</c:v>
                </c:pt>
                <c:pt idx="1">
                  <c:v>933.3</c:v>
                </c:pt>
                <c:pt idx="2">
                  <c:v>1120.6</c:v>
                </c:pt>
                <c:pt idx="3">
                  <c:v>890.3</c:v>
                </c:pt>
                <c:pt idx="4">
                  <c:v>537.2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Лампа №6, Накаливания, 60Вт</c:v>
                </c:pt>
              </c:strCache>
            </c:strRef>
          </c:tx>
          <c:spPr>
            <a:solidFill>
              <a:srgbClr val="579d1c"/>
            </a:solidFill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5"/>
                <c:pt idx="0">
                  <c:v>295.4</c:v>
                </c:pt>
                <c:pt idx="1">
                  <c:v>439.2</c:v>
                </c:pt>
                <c:pt idx="2">
                  <c:v>560</c:v>
                </c:pt>
                <c:pt idx="3">
                  <c:v>474</c:v>
                </c:pt>
                <c:pt idx="4">
                  <c:v>321.1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Лампа №7, Галог., 50 Вт</c:v>
                </c:pt>
              </c:strCache>
            </c:strRef>
          </c:tx>
          <c:spPr>
            <a:solidFill>
              <a:srgbClr val="7e0021"/>
            </a:solidFill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5"/>
                <c:pt idx="0">
                  <c:v>410.8</c:v>
                </c:pt>
                <c:pt idx="1">
                  <c:v>2705.4</c:v>
                </c:pt>
                <c:pt idx="2">
                  <c:v>6412.9</c:v>
                </c:pt>
                <c:pt idx="3">
                  <c:v>2866.9</c:v>
                </c:pt>
                <c:pt idx="4">
                  <c:v>397.1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15878601"/>
        <c:axId val="24943086"/>
      </c:lineChart>
      <c:catAx>
        <c:axId val="15878601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900" spc="-1" strike="noStrike">
                    <a:solidFill>
                      <a:srgbClr val="000000"/>
                    </a:solidFill>
                    <a:latin typeface="Arial"/>
                  </a:defRPr>
                </a:pPr>
                <a:r>
                  <a:rPr b="0" sz="900" spc="-1" strike="noStrike">
                    <a:solidFill>
                      <a:srgbClr val="000000"/>
                    </a:solidFill>
                    <a:latin typeface="Arial"/>
                  </a:rPr>
                  <a:t>x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DD/MM/YYYY" sourceLinked="1"/>
        <c:majorTickMark val="out"/>
        <c:minorTickMark val="none"/>
        <c:tickLblPos val="nextTo"/>
        <c:spPr>
          <a:ln w="6480">
            <a:solidFill>
              <a:srgbClr val="b3b3b3"/>
            </a:solidFill>
            <a:round/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24943086"/>
        <c:crosses val="autoZero"/>
        <c:auto val="1"/>
        <c:lblAlgn val="ctr"/>
        <c:lblOffset val="100"/>
      </c:catAx>
      <c:valAx>
        <c:axId val="24943086"/>
        <c:scaling>
          <c:orientation val="minMax"/>
        </c:scaling>
        <c:delete val="0"/>
        <c:axPos val="l"/>
        <c:majorGridlines>
          <c:spPr>
            <a:ln w="6480">
              <a:solidFill>
                <a:srgbClr val="b3b3b3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sz="900" spc="-1" strike="noStrike">
                    <a:solidFill>
                      <a:srgbClr val="000000"/>
                    </a:solidFill>
                    <a:latin typeface="Arial"/>
                  </a:defRPr>
                </a:pPr>
                <a:r>
                  <a:rPr b="0" sz="900" spc="-1" strike="noStrike">
                    <a:solidFill>
                      <a:srgbClr val="000000"/>
                    </a:solidFill>
                    <a:latin typeface="Arial"/>
                  </a:rPr>
                  <a:t>E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 w="6480">
            <a:solidFill>
              <a:srgbClr val="b3b3b3"/>
            </a:solidFill>
            <a:round/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15878601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300" spc="-1" strike="noStrike">
                <a:solidFill>
                  <a:srgbClr val="000000"/>
                </a:solidFill>
                <a:latin typeface="Arial"/>
              </a:defRPr>
            </a:pPr>
            <a:r>
              <a:rPr b="0" sz="1300" spc="-1" strike="noStrike">
                <a:solidFill>
                  <a:srgbClr val="000000"/>
                </a:solidFill>
                <a:latin typeface="Arial"/>
              </a:rPr>
              <a:t>Освещённость от положения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Лампа №1, Люминесц., 9Вт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464</c:v>
                </c:pt>
                <c:pt idx="1">
                  <c:v>472.5</c:v>
                </c:pt>
                <c:pt idx="2">
                  <c:v>455.1</c:v>
                </c:pt>
                <c:pt idx="3">
                  <c:v>434.1</c:v>
                </c:pt>
                <c:pt idx="4">
                  <c:v>368.9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Лампа №4, Люминесц., 13Вт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708.9</c:v>
                </c:pt>
                <c:pt idx="1">
                  <c:v>876</c:v>
                </c:pt>
                <c:pt idx="2">
                  <c:v>984.8</c:v>
                </c:pt>
                <c:pt idx="3">
                  <c:v>1060.5</c:v>
                </c:pt>
                <c:pt idx="4">
                  <c:v>998.6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Лампа №5, Светод., 12 Вт</c:v>
                </c:pt>
              </c:strCache>
            </c:strRef>
          </c:tx>
          <c:spPr>
            <a:solidFill>
              <a:srgbClr val="ffd320"/>
            </a:solidFill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841.7</c:v>
                </c:pt>
                <c:pt idx="1">
                  <c:v>1203.1</c:v>
                </c:pt>
                <c:pt idx="2">
                  <c:v>1403.9</c:v>
                </c:pt>
                <c:pt idx="3">
                  <c:v>1203.9</c:v>
                </c:pt>
                <c:pt idx="4">
                  <c:v>825.3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Лампа №6, Накаливания, 60Вт</c:v>
                </c:pt>
              </c:strCache>
            </c:strRef>
          </c:tx>
          <c:spPr>
            <a:solidFill>
              <a:srgbClr val="579d1c"/>
            </a:solidFill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5"/>
                <c:pt idx="0">
                  <c:v>441.2</c:v>
                </c:pt>
                <c:pt idx="1">
                  <c:v>582.5</c:v>
                </c:pt>
                <c:pt idx="2">
                  <c:v>659</c:v>
                </c:pt>
                <c:pt idx="3">
                  <c:v>610.5</c:v>
                </c:pt>
                <c:pt idx="4">
                  <c:v>501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Лампа №7, Галог., 50 Вт</c:v>
                </c:pt>
              </c:strCache>
            </c:strRef>
          </c:tx>
          <c:spPr>
            <a:solidFill>
              <a:srgbClr val="7e0021"/>
            </a:solidFill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5"/>
                <c:pt idx="0">
                  <c:v>620.5</c:v>
                </c:pt>
                <c:pt idx="1">
                  <c:v>2712.2</c:v>
                </c:pt>
                <c:pt idx="2">
                  <c:v>6031.3</c:v>
                </c:pt>
                <c:pt idx="3">
                  <c:v>3040</c:v>
                </c:pt>
                <c:pt idx="4">
                  <c:v>598.2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53804188"/>
        <c:axId val="12563051"/>
      </c:lineChart>
      <c:catAx>
        <c:axId val="5380418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900" spc="-1" strike="noStrike">
                    <a:solidFill>
                      <a:srgbClr val="000000"/>
                    </a:solidFill>
                    <a:latin typeface="Arial"/>
                  </a:defRPr>
                </a:pPr>
                <a:r>
                  <a:rPr b="0" sz="900" spc="-1" strike="noStrike">
                    <a:solidFill>
                      <a:srgbClr val="000000"/>
                    </a:solidFill>
                    <a:latin typeface="Arial"/>
                  </a:rPr>
                  <a:t>x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DD/MM/YYYY" sourceLinked="1"/>
        <c:majorTickMark val="out"/>
        <c:minorTickMark val="none"/>
        <c:tickLblPos val="nextTo"/>
        <c:spPr>
          <a:ln w="6480">
            <a:solidFill>
              <a:srgbClr val="b3b3b3"/>
            </a:solidFill>
            <a:round/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12563051"/>
        <c:crosses val="autoZero"/>
        <c:auto val="1"/>
        <c:lblAlgn val="ctr"/>
        <c:lblOffset val="100"/>
      </c:catAx>
      <c:valAx>
        <c:axId val="12563051"/>
        <c:scaling>
          <c:orientation val="minMax"/>
        </c:scaling>
        <c:delete val="0"/>
        <c:axPos val="l"/>
        <c:majorGridlines>
          <c:spPr>
            <a:ln w="6480">
              <a:solidFill>
                <a:srgbClr val="b3b3b3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sz="900" spc="-1" strike="noStrike">
                    <a:solidFill>
                      <a:srgbClr val="000000"/>
                    </a:solidFill>
                    <a:latin typeface="Arial"/>
                  </a:defRPr>
                </a:pPr>
                <a:r>
                  <a:rPr b="0" sz="900" spc="-1" strike="noStrike">
                    <a:solidFill>
                      <a:srgbClr val="000000"/>
                    </a:solidFill>
                    <a:latin typeface="Arial"/>
                  </a:rPr>
                  <a:t>E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 w="6480">
            <a:solidFill>
              <a:srgbClr val="b3b3b3"/>
            </a:solidFill>
            <a:round/>
          </a:ln>
        </c:spPr>
        <c:txPr>
          <a:bodyPr/>
          <a:lstStyle/>
          <a:p>
            <a:pPr>
              <a:defRPr b="0" sz="1000" spc="-1" strike="noStrike">
                <a:solidFill>
                  <a:srgbClr val="000000"/>
                </a:solidFill>
                <a:latin typeface="Arial"/>
              </a:defRPr>
            </a:pPr>
          </a:p>
        </c:txPr>
        <c:crossAx val="53804188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sz="1400" spc="-1" strike="noStrike">
                <a:solidFill>
                  <a:srgbClr val="595959"/>
                </a:solidFill>
                <a:latin typeface="Calibri"/>
              </a:rPr>
              <a:t>Кп%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/>
                </c:pt>
              </c:strCache>
            </c:strRef>
          </c:tx>
          <c:spPr>
            <a:solidFill>
              <a:srgbClr val="4472c4"/>
            </a:solidFill>
            <a:ln w="28440">
              <a:solidFill>
                <a:srgbClr val="4472c4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7.3</c:v>
                </c:pt>
                <c:pt idx="1">
                  <c:v>9.2</c:v>
                </c:pt>
                <c:pt idx="2">
                  <c:v>10.6</c:v>
                </c:pt>
                <c:pt idx="3">
                  <c:v>11</c:v>
                </c:pt>
                <c:pt idx="4">
                  <c:v>12.1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47114343"/>
        <c:axId val="45182812"/>
      </c:lineChart>
      <c:catAx>
        <c:axId val="47114343"/>
        <c:scaling>
          <c:orientation val="minMax"/>
        </c:scaling>
        <c:delete val="0"/>
        <c:axPos val="b"/>
        <c:numFmt formatCode="DD/MM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5182812"/>
        <c:crosses val="autoZero"/>
        <c:auto val="1"/>
        <c:lblAlgn val="ctr"/>
        <c:lblOffset val="100"/>
      </c:catAx>
      <c:valAx>
        <c:axId val="45182812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7114343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48103-4B6D-4DA5-BDD1-4EC0F4763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Application>LibreOffice/6.0.7.3$Linux_X86_64 LibreOffice_project/00m0$Build-3</Application>
  <Pages>15</Pages>
  <Words>1574</Words>
  <Characters>9652</Characters>
  <CharactersWithSpaces>10946</CharactersWithSpaces>
  <Paragraphs>323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2021-12-28T14:26:00Z</dcterms:created>
  <dc:creator>Mila Ishanina</dc:creator>
  <dc:description/>
  <dc:language>ru-RU</dc:language>
  <cp:lastModifiedBy/>
  <cp:lastPrinted>2021-12-28T14:50:00Z</cp:lastPrinted>
  <dcterms:modified xsi:type="dcterms:W3CDTF">2021-12-29T00:20:21Z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