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b/>
          <w:bCs/>
          <w:i w:val="false"/>
          <w:iCs w:val="false"/>
          <w:color w:val="B06A00"/>
          <w:sz w:val="16"/>
          <w:szCs w:val="16"/>
        </w:rPr>
        <w:t xml:space="preserve">DATA STRUCTURES &amp; ALGORITHMS  ·  COMS-RW-20515</w:t>
      </w:r>
    </w:p>
    <w:p>
      <w:pPr>
        <w:spacing w:after="60" w:before="0" w:line="276"/>
      </w:pPr>
      <w:r>
        <w:rPr>
          <w:b/>
          <w:bCs/>
          <w:i w:val="false"/>
          <w:iCs w:val="false"/>
          <w:color w:val="0F1B33"/>
          <w:sz w:val="40"/>
          <w:szCs w:val="40"/>
        </w:rPr>
        <w:t>Final Project: Model, Build, Analyse</w:t>
      </w:r>
    </w:p>
    <w:p>
      <w:pPr>
        <w:spacing w:after="240" w:before="0" w:line="276"/>
      </w:pPr>
      <w:r>
        <w:rPr>
          <w:b w:val="false"/>
          <w:bCs w:val="false"/>
          <w:i w:val="false"/>
          <w:iCs w:val="false"/>
          <w:color w:val="555555"/>
          <w:sz w:val="18"/>
          <w:szCs w:val="18"/>
        </w:rPr>
        <w:t>Released Week 7  ·  Proposal due Friday 21 August  ·  Report and code due Sunday 27 September, 23:59  ·  40% of the module  ·  Revised 19 September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D5BE" w:sz="4"/>
              <w:left w:val="single" w:color="E0D5BE" w:sz="4"/>
              <w:bottom w:val="single" w:color="E0D5BE" w:sz="4"/>
              <w:right w:val="single" w:color="E0D5BE" w:sz="4"/>
            </w:tcBorders>
            <w:shd w:fill="FFF6E6" w:val="clear"/>
            <w:tcMar>
              <w:top w:type="dxa" w:w="140"/>
              <w:left w:type="dxa" w:w="200"/>
              <w:bottom w:type="dxa" w:w="60"/>
              <w:right w:type="dxa" w:w="200"/>
            </w:tcMar>
          </w:tcPr>
          <w:p>
            <w:pPr>
              <w:spacing w:after="120" w:before="0" w:line="276"/>
            </w:pPr>
            <w:r>
              <w:rPr>
                <w:b/>
                <w:bCs/>
                <w:i w:val="false"/>
                <w:iCs w:val="false"/>
              </w:rPr>
              <w:t xml:space="preserve">This project is now set as one of three questions. </w:t>
            </w:r>
            <w:r>
              <w:rPr>
                <w:b w:val="false"/>
                <w:bCs w:val="false"/>
                <w:i w:val="false"/>
                <w:iCs w:val="false"/>
              </w:rPr>
              <w:t>Since 19 September, answer one of the three questions in DSA_Project_Questions, using the data supplied. The sections below headed What qualifies and The stages describe the original own-problem project and no longer apply. The report, Generative AI, and marking sections apply in full.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D5BE" w:sz="4"/>
              <w:left w:val="single" w:color="E0D5BE" w:sz="4"/>
              <w:bottom w:val="single" w:color="E0D5BE" w:sz="4"/>
              <w:right w:val="single" w:color="E0D5BE" w:sz="4"/>
            </w:tcBorders>
            <w:shd w:fill="FFF6E6" w:val="clear"/>
            <w:tcMar>
              <w:top w:type="dxa" w:w="140"/>
              <w:left w:type="dxa" w:w="200"/>
              <w:bottom w:type="dxa" w:w="60"/>
              <w:right w:type="dxa" w:w="200"/>
            </w:tcMar>
          </w:tcPr>
          <w:p>
            <w:pPr>
              <w:spacing w:after="120" w:before="0" w:line="276"/>
            </w:pPr>
            <w:r>
              <w:rPr>
                <w:b/>
                <w:bCs/>
                <w:i w:val="false"/>
                <w:iCs w:val="false"/>
              </w:rPr>
              <w:t xml:space="preserve">The brief. </w:t>
            </w:r>
            <w:r>
              <w:rPr>
                <w:b w:val="false"/>
                <w:bCs w:val="false"/>
                <w:i w:val="false"/>
                <w:iCs w:val="false"/>
              </w:rPr>
              <w:t>Find a real problem in your own environment that has algorithmic structure, and model it. Choose the data structures and algorithms it needs, implement a solution that works, and analyse what it costs. Say what it does not do and what you would change. Then justify every choice in writing.</w:t>
            </w:r>
          </w:p>
        </w:tc>
      </w:tr>
    </w:tbl>
    <w:p>
      <w:pPr>
        <w:spacing w:after="120" w:before="220" w:line="276"/>
      </w:pPr>
      <w:r>
        <w:rPr>
          <w:b/>
          <w:bCs/>
          <w:i w:val="false"/>
          <w:iCs w:val="false"/>
          <w:color w:val="0F1B33"/>
          <w:sz w:val="22"/>
          <w:szCs w:val="22"/>
        </w:rPr>
        <w:t xml:space="preserve">What qualifies</w:t>
      </w:r>
    </w:p>
    <w:p>
      <w:pPr>
        <w:spacing w:after="160" w:before="0" w:line="276"/>
      </w:pPr>
      <w:r>
        <w:rPr>
          <w:b w:val="false"/>
          <w:bCs w:val="false"/>
          <w:i w:val="false"/>
          <w:iCs w:val="false"/>
        </w:rPr>
        <w:t>Anything with a real algorithmic core will do. Scheduling problems work well: room allocation, society events, exam timetabling. So do routing problems (a campus shuttle, refuse collection, a supply chain) and matching problems, whether roommates, project groups or mentors. Search over a corpus you care about, recommendation on a small dataset, and simulation of a queue or an intersection or the spread of something across a contact graph all qualify. Each of these contains a graph, a tree, or a dynamic-programming problem, and identifying it is itself part of what is assessed.</w:t>
      </w:r>
    </w:p>
    <w:p>
      <w:pPr>
        <w:spacing w:after="160" w:before="0" w:line="276"/>
      </w:pPr>
      <w:r>
        <w:rPr>
          <w:b/>
          <w:bCs/>
          <w:i w:val="false"/>
          <w:iCs w:val="false"/>
        </w:rPr>
        <w:t xml:space="preserve">What does not qualify: </w:t>
      </w:r>
      <w:r>
        <w:rPr>
          <w:b w:val="false"/>
          <w:bCs w:val="false"/>
          <w:i w:val="false"/>
          <w:iCs w:val="false"/>
        </w:rPr>
        <w:t>CRUD applications (systems that only create, read, update, and delete records) with no algorithmic core; machine-learning projects, which belong to a separate module; textbook exercises presented as real problems; and problems with no meaningful choice of data structure or algorithm. If in doubt, ask before the proposal deadline. The proposal stage exists for that purpose.</w:t>
      </w:r>
    </w:p>
    <w:p>
      <w:pPr>
        <w:spacing w:after="120" w:before="220" w:line="276"/>
      </w:pPr>
      <w:r>
        <w:rPr>
          <w:b/>
          <w:bCs/>
          <w:i w:val="false"/>
          <w:iCs w:val="false"/>
          <w:color w:val="0F1B33"/>
          <w:sz w:val="22"/>
          <w:szCs w:val="22"/>
        </w:rPr>
        <w:t xml:space="preserve">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7CCD6" w:sz="4"/>
              <w:left w:val="single" w:color="C7CCD6" w:sz="4"/>
              <w:bottom w:val="single" w:color="C7CCD6" w:sz="4"/>
              <w:right w:val="single" w:color="C7CCD6" w:sz="4"/>
            </w:tcBorders>
            <w:shd w:fill="EEF1F6" w:val="clear"/>
            <w:tcMar>
              <w:top w:type="dxa" w:w="80"/>
              <w:left w:type="dxa" w:w="120"/>
              <w:bottom w:type="dxa" w:w="20"/>
              <w:right w:type="dxa" w:w="120"/>
            </w:tcMar>
          </w:tcPr>
          <w:p>
            <w:pPr>
              <w:spacing w:after="60" w:before="0" w:line="276"/>
            </w:pPr>
            <w:r>
              <w:rPr>
                <w:b/>
                <w:bCs/>
                <w:i w:val="false"/>
                <w:iCs w:val="false"/>
              </w:rPr>
              <w:t xml:space="preserve">When</w:t>
            </w:r>
          </w:p>
        </w:tc>
        <w:tc>
          <w:tcPr>
            <w:tcW w:type="dxa" w:w="6626"/>
            <w:tcBorders>
              <w:top w:val="single" w:color="C7CCD6" w:sz="4"/>
              <w:left w:val="single" w:color="C7CCD6" w:sz="4"/>
              <w:bottom w:val="single" w:color="C7CCD6" w:sz="4"/>
              <w:right w:val="single" w:color="C7CCD6" w:sz="4"/>
            </w:tcBorders>
            <w:shd w:fill="EEF1F6" w:val="clear"/>
            <w:tcMar>
              <w:top w:type="dxa" w:w="80"/>
              <w:left w:type="dxa" w:w="120"/>
              <w:bottom w:type="dxa" w:w="20"/>
              <w:right w:type="dxa" w:w="120"/>
            </w:tcMar>
          </w:tcPr>
          <w:p>
            <w:pPr>
              <w:spacing w:after="60" w:before="0" w:line="276"/>
            </w:pPr>
            <w:r>
              <w:rPr>
                <w:b/>
                <w:bCs/>
                <w:i w:val="false"/>
                <w:iCs w:val="false"/>
              </w:rPr>
              <w:t xml:space="preserve">What</w:t>
            </w:r>
          </w:p>
        </w:tc>
      </w:tr>
      <w:tr>
        <w:tc>
          <w:tcPr>
            <w:tcW w:type="dxa" w:w="24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Friday 21 August</w:t>
            </w:r>
          </w:p>
        </w:tc>
        <w:tc>
          <w:tcPr>
            <w:tcW w:type="dxa" w:w="66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Half-page proposal due (use the proposal form): the problem, why it is real, and where you suspect the algorithmic core lives.</w:t>
            </w:r>
          </w:p>
        </w:tc>
      </w:tr>
      <w:tr>
        <w:tc>
          <w:tcPr>
            <w:tcW w:type="dxa" w:w="24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Week 10</w:t>
            </w:r>
          </w:p>
        </w:tc>
        <w:tc>
          <w:tcPr>
            <w:tcW w:type="dxa" w:w="66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Sign-off in your one-to-one check-in, in the lab block. Approval is on feasibility and algorithmic substance, not subject area. Fallback projects are available if yours proves unworkable.</w:t>
            </w:r>
          </w:p>
        </w:tc>
      </w:tr>
      <w:tr>
        <w:tc>
          <w:tcPr>
            <w:tcW w:type="dxa" w:w="24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Weeks 10–12</w:t>
            </w:r>
          </w:p>
        </w:tc>
        <w:tc>
          <w:tcPr>
            <w:tcW w:type="dxa" w:w="66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Build. Bring problems to the Week 12 project clinic, which exists for this purpose. From 19 September the project is set as one of three questions (DSA_Project_Questions).</w:t>
            </w:r>
          </w:p>
        </w:tc>
      </w:tr>
      <w:tr>
        <w:tc>
          <w:tcPr>
            <w:tcW w:type="dxa" w:w="24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Sunday 27 September, 23:59</w:t>
            </w:r>
          </w:p>
        </w:tc>
        <w:tc>
          <w:tcPr>
            <w:tcW w:type="dxa" w:w="66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Written report (5–10 pages) and code due.</w:t>
            </w:r>
          </w:p>
        </w:tc>
      </w:tr>
    </w:tbl>
    <w:p>
      <w:pPr>
        <w:spacing w:after="120" w:before="220" w:line="276"/>
      </w:pPr>
      <w:r>
        <w:rPr>
          <w:b/>
          <w:bCs/>
          <w:i w:val="false"/>
          <w:iCs w:val="false"/>
          <w:color w:val="0F1B33"/>
          <w:sz w:val="22"/>
          <w:szCs w:val="22"/>
        </w:rPr>
        <w:t xml:space="preserve">The report</w:t>
      </w:r>
    </w:p>
    <w:p>
      <w:pPr>
        <w:spacing w:after="160" w:before="0" w:line="276"/>
      </w:pPr>
      <w:r>
        <w:rPr>
          <w:b w:val="false"/>
          <w:bCs w:val="false"/>
          <w:i w:val="false"/>
          <w:iCs w:val="false"/>
        </w:rPr>
        <w:t>Five to ten pages. Open with the problem and why it matters, then the modelling step: how the real problem became a graph, a tree, or a dynamic-programming problem. Set out the structures and algorithms you chose, and the alternatives you rejected, with the reasoning in both directions. Analyse the complexity, in the worst case and the expected case. Note anything about the implementation a reader would need to know. Close on limitations and on what you would do differently. This is the section students most often treat too briefly, and the one that most reliably separates a good report from an adequate one.</w:t>
      </w:r>
    </w:p>
    <w:p>
      <w:pPr>
        <w:spacing w:after="160" w:before="0" w:line="276"/>
      </w:pPr>
      <w:r>
        <w:rPr>
          <w:b w:val="false"/>
          <w:bCs w:val="false"/>
          <w:i w:val="false"/>
          <w:iCs w:val="false"/>
        </w:rPr>
        <w:t>The implementation must work on a non-trivial input, and must come with a README saying how to run it. It does not have to be polished. Working code with clear, correct reasoning scores higher than polished code you cannot explain.</w:t>
      </w:r>
    </w:p>
    <w:p>
      <w:pPr>
        <w:spacing w:after="120" w:before="220" w:line="276"/>
      </w:pPr>
      <w:r>
        <w:rPr>
          <w:b/>
          <w:bCs/>
          <w:i w:val="false"/>
          <w:iCs w:val="false"/>
          <w:color w:val="0F1B33"/>
          <w:sz w:val="22"/>
          <w:szCs w:val="22"/>
        </w:rPr>
        <w:t xml:space="preserve">Generative AI on this project</w:t>
      </w:r>
    </w:p>
    <w:p>
      <w:pPr>
        <w:spacing w:after="160" w:before="0" w:line="276"/>
      </w:pPr>
      <w:r>
        <w:rPr>
          <w:b w:val="false"/>
          <w:bCs w:val="false"/>
          <w:i w:val="false"/>
          <w:iCs w:val="false"/>
        </w:rPr>
        <w:t>The policy in one line: AI may support your thinking; it may not do your thinking. That matters more here than anywhere else on the module: 40% of your module mark rests on work produced unsupervised, and the report is the only evidence of how it was produced.</w:t>
      </w:r>
    </w:p>
    <w:p>
      <w:pPr>
        <w:spacing w:after="160" w:before="0" w:line="276"/>
      </w:pPr>
      <w:r>
        <w:rPr>
          <w:b/>
          <w:bCs/>
          <w:i w:val="false"/>
          <w:iCs w:val="false"/>
        </w:rPr>
        <w:t xml:space="preserve">Permitted. </w:t>
      </w:r>
      <w:r>
        <w:rPr>
          <w:b w:val="false"/>
          <w:bCs w:val="false"/>
          <w:i w:val="false"/>
          <w:iCs w:val="false"/>
        </w:rPr>
        <w:t>Learning with AI, including concepts not covered in lectures and how they apply to your question: how a heap works, what the 0/1 knapsack problem is, what NP-hard means, why a dynamic-programming table suits your problem. Explaining an error message you do not understand. Stress-testing an argument you have already written down, provided the argument itself is in the prompt. Reviewing code you have written and suggesting improvements you then judge for yourself. Editorial help on the report: grammar, structure, cutting it to length. Scaffolding that is not the algorithmic core: test data, plotting code, a file reader.</w:t>
      </w:r>
    </w:p>
    <w:p>
      <w:pPr>
        <w:spacing w:after="160" w:before="0" w:line="276"/>
      </w:pPr>
      <w:r>
        <w:rPr>
          <w:b/>
          <w:bCs/>
          <w:i w:val="false"/>
          <w:iCs w:val="false"/>
        </w:rPr>
        <w:t xml:space="preserve">Not permitted. </w:t>
      </w:r>
      <w:r>
        <w:rPr>
          <w:b w:val="false"/>
          <w:bCs w:val="false"/>
          <w:i w:val="false"/>
          <w:iCs w:val="false"/>
        </w:rPr>
        <w:t>Submitting what the tool produced rather than what you learned: code, a model, a data structure, an algorithm, or a complexity analysis written by the tool. Accepting code you could not have written yourself and cannot derive on request. Having the report’s argument or its reflection written for you. Any use you would rather not declare.</w:t>
      </w:r>
    </w:p>
    <w:p>
      <w:pPr>
        <w:spacing w:after="160" w:before="0" w:line="276"/>
      </w:pPr>
      <w:r>
        <w:rPr>
          <w:b/>
          <w:bCs/>
          <w:i w:val="false"/>
          <w:iCs w:val="false"/>
        </w:rPr>
        <w:t xml:space="preserve">The line, stated once. </w:t>
      </w:r>
      <w:r>
        <w:rPr>
          <w:b w:val="false"/>
          <w:bCs w:val="false"/>
          <w:i w:val="false"/>
          <w:iCs w:val="false"/>
        </w:rPr>
        <w:t>Learning from AI is fine; submitting its output is not. The bulk of the code must be yours, and the algorithmic core must be entirely yours. AI is a supporting tool: it helps you past the parts that are not the point, so you can spend your effort on the parts that are. If it is producing most of your code, you have crossed the line.</w:t>
      </w:r>
    </w:p>
    <w:p>
      <w:pPr>
        <w:spacing w:after="160" w:before="0" w:line="276"/>
      </w:pPr>
      <w:r>
        <w:rPr>
          <w:b/>
          <w:bCs/>
          <w:i w:val="false"/>
          <w:iCs w:val="false"/>
        </w:rPr>
        <w:t xml:space="preserve">What you submit. </w:t>
      </w:r>
      <w:r>
        <w:rPr>
          <w:b w:val="false"/>
          <w:bCs w:val="false"/>
          <w:i w:val="false"/>
          <w:iCs w:val="false"/>
        </w:rPr>
        <w:t>The AI Use Declaration cover sheet, and a prompt log as an appendix to the report: every prompt you used, reproduced exactly, each with one line on what you did with the response: kept it, adapted it, or discarded it. The log sits outside the page limit, and a long one is not held against you. A declaration reading “AI used for debugging”, with no prompts behind it, is not a declaration. “No AI use” is a complete declaration on its own. If you are unsure whether a use was permitted, log it and mark it UNSURE. A use flagged that way is never treated as misconduct.</w:t>
      </w:r>
    </w:p>
    <w:p>
      <w:pPr>
        <w:spacing w:after="160" w:before="0" w:line="276"/>
      </w:pPr>
      <w:r>
        <w:rPr>
          <w:b/>
          <w:bCs/>
          <w:i w:val="false"/>
          <w:iCs w:val="false"/>
        </w:rPr>
        <w:t xml:space="preserve">Why the log. </w:t>
      </w:r>
      <w:r>
        <w:rPr>
          <w:b w:val="false"/>
          <w:bCs w:val="false"/>
          <w:i w:val="false"/>
          <w:iCs w:val="false"/>
        </w:rPr>
        <w:t>Two reasons. It is the one artefact that distinguishes work a tool supported from work handed over to it, which protects the students who did the work themselves. And writing down what you asked is useful in its own right: a vague prompt is usually a sign of vague understanding, and you will notice that before I do.</w:t>
      </w:r>
    </w:p>
    <w:p>
      <w:pPr>
        <w:spacing w:after="160" w:before="0" w:line="276"/>
      </w:pPr>
      <w:r>
        <w:rPr>
          <w:b/>
          <w:bCs/>
          <w:i w:val="false"/>
          <w:iCs w:val="false"/>
        </w:rPr>
        <w:t xml:space="preserve">What this guards against. </w:t>
      </w:r>
      <w:r>
        <w:rPr>
          <w:b w:val="false"/>
          <w:bCs w:val="false"/>
          <w:i w:val="false"/>
          <w:iCs w:val="false"/>
        </w:rPr>
        <w:t>Handing over to a tool the part of the work that is the learning. The risk is not that you use a tool; it is that the tool does the thinking, and you submit a working program you cannot explain. The report asks ordinary questions: why this data structure and not another, what happens to the running time if n grows a hundredfold, and what the strongest case is for the alternative you rejected, and why your choice is still better. They cannot be answered well from work you did not do.</w:t>
      </w:r>
    </w:p>
    <w:p>
      <w:pPr>
        <w:spacing w:after="160" w:before="0" w:line="276"/>
      </w:pPr>
      <w:r>
        <w:rPr>
          <w:b w:val="false"/>
          <w:bCs w:val="false"/>
          <w:i w:val="false"/>
          <w:iCs w:val="false"/>
        </w:rPr>
        <w:t xml:space="preserve">Undeclared use is handled under the institutional academic-integrity procedure rather than by me.</w:t>
      </w:r>
    </w:p>
    <w:p>
      <w:pPr>
        <w:spacing w:after="120" w:before="220" w:line="276"/>
      </w:pPr>
      <w:r>
        <w:rPr>
          <w:b/>
          <w:bCs/>
          <w:i w:val="false"/>
          <w:iCs w:val="false"/>
          <w:color w:val="0F1B33"/>
          <w:sz w:val="22"/>
          <w:szCs w:val="22"/>
        </w:rPr>
        <w:t>How it is marked (four dimensions, equal weight, banded)</w:t>
      </w:r>
    </w:p>
    <w:p>
      <w:pPr>
        <w:spacing w:after="160" w:before="0" w:line="276"/>
      </w:pPr>
      <w:r>
        <w:rPr>
          <w:b w:val="false"/>
          <w:bCs w:val="false"/>
          <w:i w:val="false"/>
          <w:iCs w:val="false"/>
        </w:rPr>
        <w:t>The report and code are marked together. Each of the four dimensions is scored out of 20, giving a mark out of 80, which is converted to a percentage for the project. The bands align with degree classifications: 0–7 failing, 8–9 third, 10–11 lower second, 12–13 upper second, 14–16 first, 17–20 exceptional. The full banded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5926"/>
      </w:tblGrid>
      <w:tr>
        <w:tc>
          <w:tcPr>
            <w:tcW w:type="dxa" w:w="2100"/>
            <w:tcBorders>
              <w:top w:val="single" w:color="C7CCD6" w:sz="4"/>
              <w:left w:val="single" w:color="C7CCD6" w:sz="4"/>
              <w:bottom w:val="single" w:color="C7CCD6" w:sz="4"/>
              <w:right w:val="single" w:color="C7CCD6" w:sz="4"/>
            </w:tcBorders>
            <w:shd w:fill="EEF1F6" w:val="clear"/>
            <w:tcMar>
              <w:top w:type="dxa" w:w="80"/>
              <w:left w:type="dxa" w:w="120"/>
              <w:bottom w:type="dxa" w:w="20"/>
              <w:right w:type="dxa" w:w="120"/>
            </w:tcMar>
          </w:tcPr>
          <w:p>
            <w:pPr>
              <w:spacing w:after="60" w:before="0" w:line="276"/>
            </w:pPr>
            <w:r>
              <w:rPr>
                <w:b/>
                <w:bCs/>
                <w:i w:val="false"/>
                <w:iCs w:val="false"/>
              </w:rPr>
              <w:t xml:space="preserve">Dimension</w:t>
            </w:r>
          </w:p>
        </w:tc>
        <w:tc>
          <w:tcPr>
            <w:tcW w:type="dxa" w:w="1000"/>
            <w:tcBorders>
              <w:top w:val="single" w:color="C7CCD6" w:sz="4"/>
              <w:left w:val="single" w:color="C7CCD6" w:sz="4"/>
              <w:bottom w:val="single" w:color="C7CCD6" w:sz="4"/>
              <w:right w:val="single" w:color="C7CCD6" w:sz="4"/>
            </w:tcBorders>
            <w:shd w:fill="EEF1F6" w:val="clear"/>
            <w:tcMar>
              <w:top w:type="dxa" w:w="80"/>
              <w:left w:type="dxa" w:w="120"/>
              <w:bottom w:type="dxa" w:w="20"/>
              <w:right w:type="dxa" w:w="120"/>
            </w:tcMar>
          </w:tcPr>
          <w:p>
            <w:pPr>
              <w:spacing w:after="60" w:before="0" w:line="276"/>
            </w:pPr>
            <w:r>
              <w:rPr>
                <w:b/>
                <w:bCs/>
                <w:i w:val="false"/>
                <w:iCs w:val="false"/>
              </w:rPr>
              <w:t xml:space="preserve">Band</w:t>
            </w:r>
          </w:p>
        </w:tc>
        <w:tc>
          <w:tcPr>
            <w:tcW w:type="dxa" w:w="5926"/>
            <w:tcBorders>
              <w:top w:val="single" w:color="C7CCD6" w:sz="4"/>
              <w:left w:val="single" w:color="C7CCD6" w:sz="4"/>
              <w:bottom w:val="single" w:color="C7CCD6" w:sz="4"/>
              <w:right w:val="single" w:color="C7CCD6" w:sz="4"/>
            </w:tcBorders>
            <w:shd w:fill="EEF1F6" w:val="clear"/>
            <w:tcMar>
              <w:top w:type="dxa" w:w="80"/>
              <w:left w:type="dxa" w:w="120"/>
              <w:bottom w:type="dxa" w:w="20"/>
              <w:right w:type="dxa" w:w="120"/>
            </w:tcMar>
          </w:tcPr>
          <w:p>
            <w:pPr>
              <w:spacing w:after="60" w:before="0" w:line="276"/>
            </w:pPr>
            <w:r>
              <w:rPr>
                <w:b/>
                <w:bCs/>
                <w:i w:val="false"/>
                <w:iCs w:val="false"/>
              </w:rPr>
              <w:t xml:space="preserve">What that band looks like</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Problem framing</w:t>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0–7</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No real problem, or scope so vague no algorithmic question exists.</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8–9</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A real problem, thinly scoped; significance asserted rather than argued.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10–11</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Real and scoped; significance stated; boundaries unclear.</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12–13</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Well-scoped; significance argued; assumptions and boundaries stated.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14–16</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Precise scope; significance convincing; assumptions explicit and justified.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17–20</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As 14–16, and the framing itself shows insight: the problem is better understood because of it.</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Modelling and choice</w:t>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0–7</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No translation to algorithmic form, or a model that does not fit the problem.</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8–9</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A model exists; structures chosen without justification; no alternatives considered.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10–11</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Workable model; choices given brief reasons; alternatives mentioned but not evaluated.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12–13</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Sound model; choices justified by the operations the problem performs most often; one genuine alternative evaluated.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14–16</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Strong model; choices justified with their costs; alternatives fairly evaluated; trade-offs acknowledged and justified.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17–20</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Modelling reveals non-obvious structure; rejected alternatives analysed as carefully as the chosen one.</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Analysis</w:t>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0–7</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Absent or wrong.</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8–9</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Big-O quoted, partly correct, unconnected to the design.</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10–11</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Mostly correct for the main operations; worst case only.</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12–13</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Correct; worst case and expected case distinguished; related to the data actually used.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14–16</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Correct and complete; bounds interpreted for realistic input sizes; limitations acknowledged.</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17–20</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As 14–16, plus measured results that confirm the analysis, or analysis of a subtle case beyond the taught material.</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Implementation</w:t>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0–7</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Does not run, or does not do what the report claims.</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8–9</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Runs only on very small inputs; fails easily; README incomplete.</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10–11</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Works on a non-trivial input; minor defects; usable README.</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12–13</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Works reliably; sensible structure; clear README.</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14–16</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Works well; readable; the choices in the code match the report’s claims.</w:t>
            </w:r>
          </w:p>
        </w:tc>
      </w:tr>
      <w:tr>
        <w:tc>
          <w:tcPr>
            <w:tcW w:type="dxa" w:w="21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
            </w:r>
          </w:p>
        </w:tc>
        <w:tc>
          <w:tcPr>
            <w:tcW w:type="dxa" w:w="1000"/>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 xml:space="preserve">17–20</w:t>
            </w:r>
          </w:p>
        </w:tc>
        <w:tc>
          <w:tcPr>
            <w:tcW w:type="dxa" w:w="5926"/>
            <w:tcBorders>
              <w:top w:val="single" w:color="C7CCD6" w:sz="4"/>
              <w:left w:val="single" w:color="C7CCD6" w:sz="4"/>
              <w:bottom w:val="single" w:color="C7CCD6" w:sz="4"/>
              <w:right w:val="single" w:color="C7CCD6" w:sz="4"/>
            </w:tcBorders>
            <w:tcMar>
              <w:top w:type="dxa" w:w="80"/>
              <w:left w:type="dxa" w:w="120"/>
              <w:bottom w:type="dxa" w:w="20"/>
              <w:right w:type="dxa" w:w="120"/>
            </w:tcMar>
          </w:tcPr>
          <w:p>
            <w:pPr>
              <w:spacing w:after="60" w:before="0" w:line="276"/>
            </w:pPr>
            <w:r>
              <w:rPr>
                <w:b w:val="false"/>
                <w:bCs w:val="false"/>
                <w:i w:val="false"/>
                <w:iCs w:val="false"/>
              </w:rPr>
              <w:t>As 14–16, with tests, or operation counts and timings, that strengthen the analysis.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D5BE" w:sz="4"/>
              <w:left w:val="single" w:color="E0D5BE" w:sz="4"/>
              <w:bottom w:val="single" w:color="E0D5BE" w:sz="4"/>
              <w:right w:val="single" w:color="E0D5BE" w:sz="4"/>
            </w:tcBorders>
            <w:shd w:fill="FFF6E6" w:val="clear"/>
            <w:tcMar>
              <w:top w:type="dxa" w:w="140"/>
              <w:left w:type="dxa" w:w="200"/>
              <w:bottom w:type="dxa" w:w="60"/>
              <w:right w:type="dxa" w:w="200"/>
            </w:tcMar>
          </w:tcPr>
          <w:p>
            <w:pPr>
              <w:spacing w:after="120" w:before="0" w:line="276"/>
            </w:pPr>
            <w:r>
              <w:rPr>
                <w:b/>
                <w:bCs/>
                <w:i w:val="false"/>
                <w:iCs w:val="false"/>
              </w:rPr>
              <w:t xml:space="preserve">Your code will be run. </w:t>
            </w:r>
            <w:r>
              <w:rPr>
                <w:b w:val="false"/>
                <w:bCs w:val="false"/>
                <w:i w:val="false"/>
                <w:iCs w:val="false"/>
              </w:rPr>
              <w:t>The marker runs your code from the README on the supplied data. A program that does not run, or does not do what the report claims, is placed in the lowest Implementation band however good the report is. Test your README instructions on a clean copy before you submit.</w:t>
            </w:r>
          </w:p>
        </w:tc>
      </w:tr>
    </w:tbl>
    <w:p>
      <w:pPr>
        <w:spacing w:after="160" w:before="200" w:line="276"/>
      </w:pPr>
      <w:r>
        <w:rPr>
          <w:b w:val="false"/>
          <w:bCs w:val="false"/>
          <w:i/>
          <w:iCs/>
        </w:rPr>
        <w:t>Worth 40% of the module. The report and code carry the whole of it, scored on the four dimensions above, each out of 20. There is no viva.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w:cs="Google Sans" w:eastAsia="Google Sans" w:hAnsi="Google Sans"/>
        <w:color w:val="0F1B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2026-08-12T21:35:40.198Z</dcterms:created>
  <dcterms:modified xsi:type="dcterms:W3CDTF">2026-08-12T21:35:40.198Z</dcterms:modified>
</cp:coreProperties>
</file>

<file path=docProps/custom.xml><?xml version="1.0" encoding="utf-8"?>
<Properties xmlns="http://schemas.openxmlformats.org/officeDocument/2006/custom-properties" xmlns:vt="http://schemas.openxmlformats.org/officeDocument/2006/docPropsVTypes"/>
</file>