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C5F4A"/>
          <w:sz w:val="72"/>
          <w:szCs w:val="72"/>
        </w:rPr>
        <w:t xml:space="preserve">CESIZen</w:t>
      </w:r>
    </w:p>
    <w:p>
      <w:pPr>
        <w:spacing w:after="600"/>
        <w:jc w:val="center"/>
      </w:pPr>
      <w:r>
        <w:rPr>
          <w:i/>
          <w:iCs/>
          <w:color w:val="4B6B59"/>
          <w:sz w:val="24"/>
          <w:szCs w:val="24"/>
        </w:rPr>
        <w:t xml:space="preserve">Plateforme de bien-être numérique</w:t>
      </w:r>
    </w:p>
    <w:p>
      <w:pPr>
        <w:spacing w:before="400"/>
        <w:jc w:val="center"/>
      </w:pPr>
      <w:r>
        <w:rPr>
          <w:b/>
          <w:bCs/>
          <w:color w:val="1F2A24"/>
          <w:sz w:val="40"/>
          <w:szCs w:val="40"/>
        </w:rPr>
        <w:t xml:space="preserve">DOSSIER DE MAINTENANCE</w:t>
      </w:r>
    </w:p>
    <w:p>
      <w:pPr>
        <w:spacing w:after="800"/>
        <w:jc w:val="center"/>
      </w:pPr>
      <w:r>
        <w:rPr>
          <w:color w:val="4B6B59"/>
          <w:sz w:val="22"/>
          <w:szCs w:val="22"/>
        </w:rPr>
        <w:t xml:space="preserve">Bloc de compétences 3 — Maintenir les applications en condition opérationnelle</w:t>
      </w:r>
    </w:p>
    <w:p>
      <w:pPr>
        <w:jc w:val="center"/>
      </w:pPr>
      <w:r>
        <w:rPr>
          <w:sz w:val="20"/>
          <w:szCs w:val="20"/>
        </w:rPr>
        <w:t xml:space="preserve">API Spring Boot · Front Next.js · Mobile Flutter</w:t>
      </w:r>
    </w:p>
    <w:p>
      <w:pPr>
        <w:spacing w:before="200"/>
        <w:jc w:val="center"/>
      </w:pPr>
      <w:r>
        <w:rPr>
          <w:color w:val="777777"/>
          <w:sz w:val="20"/>
          <w:szCs w:val="20"/>
        </w:rPr>
        <w:t xml:space="preserve">Version 1.0 — Juillet 2026</w:t>
      </w:r>
    </w:p>
    <w:p>
      <w:pPr>
        <w:pageBreakBefore/>
      </w:pPr>
    </w:p>
    <w:p>
      <w:pPr>
        <w:pStyle w:val="Heading1"/>
        <w:spacing w:after="160" w:before="320"/>
      </w:pPr>
      <w:r>
        <w:rPr>
          <w:b/>
          <w:bCs/>
          <w:color w:val="2C5F4A"/>
          <w:sz w:val="30"/>
          <w:szCs w:val="30"/>
        </w:rPr>
        <w:t xml:space="preserve">1. Objet</w:t>
      </w:r>
    </w:p>
    <w:p>
      <w:pPr>
        <w:spacing w:after="120" w:line="276"/>
      </w:pPr>
      <w:r>
        <w:rPr>
          <w:sz w:val="21"/>
          <w:szCs w:val="21"/>
        </w:rPr>
        <w:t xml:space="preserve">Ce dossier décrit l'organisation de la maintenance de la plateforme CESIZen : supervision, gestion des tickets, mises à jour préventives, veille, procédure de réponse à incident et types de maintenance avec leurs engagements de service.</w:t>
      </w:r>
    </w:p>
    <w:p>
      <w:pPr>
        <w:pStyle w:val="Heading1"/>
        <w:spacing w:after="160" w:before="320"/>
      </w:pPr>
      <w:r>
        <w:rPr>
          <w:b/>
          <w:bCs/>
          <w:color w:val="2C5F4A"/>
          <w:sz w:val="30"/>
          <w:szCs w:val="30"/>
        </w:rPr>
        <w:t xml:space="preserve">2. Supervision et monitoring</w:t>
      </w:r>
    </w:p>
    <w:p>
      <w:pPr>
        <w:spacing w:after="120" w:line="276"/>
      </w:pPr>
      <w:r>
        <w:rPr>
          <w:b/>
          <w:bCs/>
          <w:sz w:val="21"/>
          <w:szCs w:val="21"/>
        </w:rPr>
        <w:t xml:space="preserve">Stack en place (API). </w:t>
      </w:r>
      <w:r>
        <w:rPr>
          <w:sz w:val="21"/>
          <w:szCs w:val="21"/>
        </w:rPr>
        <w:t xml:space="preserve">Spring Boot Actuator expose </w:t>
      </w:r>
      <w:r>
        <w:rPr>
          <w:rFonts w:ascii="Consolas" w:cs="Consolas" w:eastAsia="Consolas" w:hAnsi="Consolas"/>
          <w:color w:val="2C5F4A"/>
          <w:sz w:val="19"/>
          <w:szCs w:val="19"/>
        </w:rPr>
        <w:t xml:space="preserve">/actuator/health</w:t>
      </w:r>
      <w:r>
        <w:rPr>
          <w:sz w:val="21"/>
          <w:szCs w:val="21"/>
        </w:rPr>
        <w:t xml:space="preserve"> et </w:t>
      </w:r>
      <w:r>
        <w:rPr>
          <w:rFonts w:ascii="Consolas" w:cs="Consolas" w:eastAsia="Consolas" w:hAnsi="Consolas"/>
          <w:color w:val="2C5F4A"/>
          <w:sz w:val="19"/>
          <w:szCs w:val="19"/>
        </w:rPr>
        <w:t xml:space="preserve">/actuator/prometheus</w:t>
      </w:r>
      <w:r>
        <w:rPr>
          <w:sz w:val="21"/>
          <w:szCs w:val="21"/>
        </w:rPr>
        <w:t xml:space="preserve">. Une stack </w:t>
      </w:r>
      <w:r>
        <w:rPr>
          <w:b/>
          <w:bCs/>
          <w:sz w:val="21"/>
          <w:szCs w:val="21"/>
        </w:rPr>
        <w:t xml:space="preserve">Prometheus + Grafana + Loki</w:t>
      </w:r>
      <w:r>
        <w:rPr>
          <w:sz w:val="21"/>
          <w:szCs w:val="21"/>
        </w:rPr>
        <w:t xml:space="preserve"> (fichier compose dédié) collecte les métriques JVM, HikariCP, Tomcat et HTTP (débit, latence p50/p95/p99, erreurs).</w:t>
      </w:r>
    </w:p>
    <w:p>
      <w:pPr>
        <w:spacing w:after="120" w:line="276"/>
      </w:pPr>
      <w:r>
        <w:rPr>
          <w:b/>
          <w:bCs/>
          <w:sz w:val="21"/>
          <w:szCs w:val="21"/>
        </w:rPr>
        <w:t xml:space="preserve">Limite connue. </w:t>
      </w:r>
      <w:r>
        <w:rPr>
          <w:sz w:val="21"/>
          <w:szCs w:val="21"/>
        </w:rPr>
        <w:t xml:space="preserve">Cette stack tourne sur le même hôte que l'API : si le serveur tombe, la supervision tombe avec lui. Une </w:t>
      </w:r>
      <w:r>
        <w:rPr>
          <w:b/>
          <w:bCs/>
          <w:sz w:val="21"/>
          <w:szCs w:val="21"/>
        </w:rPr>
        <w:t xml:space="preserve">sonde externe</w:t>
      </w:r>
      <w:r>
        <w:rPr>
          <w:sz w:val="21"/>
          <w:szCs w:val="21"/>
        </w:rPr>
        <w:t xml:space="preserve"> (UptimeRobot / Better Stack) interrogeant </w:t>
      </w:r>
      <w:r>
        <w:rPr>
          <w:rFonts w:ascii="Consolas" w:cs="Consolas" w:eastAsia="Consolas" w:hAnsi="Consolas"/>
          <w:color w:val="2C5F4A"/>
          <w:sz w:val="19"/>
          <w:szCs w:val="19"/>
        </w:rPr>
        <w:t xml:space="preserve">/actuator/health</w:t>
      </w:r>
      <w:r>
        <w:rPr>
          <w:sz w:val="21"/>
          <w:szCs w:val="21"/>
        </w:rPr>
        <w:t xml:space="preserve"> depuis l'extérieur est recommandée pour détecter une indisponibilité totale et alerter par e-mail. Tracé en issue.</w:t>
      </w:r>
    </w:p>
    <w:p>
      <w:pPr>
        <w:spacing w:after="120" w:line="276"/>
      </w:pPr>
      <w:r>
        <w:rPr>
          <w:b/>
          <w:bCs/>
          <w:sz w:val="21"/>
          <w:szCs w:val="21"/>
        </w:rPr>
        <w:t xml:space="preserve">Journalisation applicative. </w:t>
      </w:r>
      <w:r>
        <w:rPr>
          <w:sz w:val="21"/>
          <w:szCs w:val="21"/>
        </w:rPr>
        <w:t xml:space="preserve">Deux journaux métier alimentent l'audit : </w:t>
      </w:r>
      <w:r>
        <w:rPr>
          <w:rFonts w:ascii="Consolas" w:cs="Consolas" w:eastAsia="Consolas" w:hAnsi="Consolas"/>
          <w:color w:val="2C5F4A"/>
          <w:sz w:val="19"/>
          <w:szCs w:val="19"/>
        </w:rPr>
        <w:t xml:space="preserve">log_connexion</w:t>
      </w:r>
      <w:r>
        <w:rPr>
          <w:sz w:val="21"/>
          <w:szCs w:val="21"/>
        </w:rPr>
        <w:t xml:space="preserve"> (chaque tentative de connexion, succès/échec, IP, horodatage) et </w:t>
      </w:r>
      <w:r>
        <w:rPr>
          <w:rFonts w:ascii="Consolas" w:cs="Consolas" w:eastAsia="Consolas" w:hAnsi="Consolas"/>
          <w:color w:val="2C5F4A"/>
          <w:sz w:val="19"/>
          <w:szCs w:val="19"/>
        </w:rPr>
        <w:t xml:space="preserve">log_activite</w:t>
      </w:r>
      <w:r>
        <w:rPr>
          <w:sz w:val="21"/>
          <w:szCs w:val="21"/>
        </w:rPr>
        <w:t xml:space="preserve"> (audit AOP de toutes les mutations CREATE/UPDATE/DELETE).</w:t>
      </w:r>
    </w:p>
    <w:p>
      <w:pPr>
        <w:pStyle w:val="Heading1"/>
        <w:spacing w:after="160" w:before="320"/>
      </w:pPr>
      <w:r>
        <w:rPr>
          <w:b/>
          <w:bCs/>
          <w:color w:val="2C5F4A"/>
          <w:sz w:val="30"/>
          <w:szCs w:val="30"/>
        </w:rPr>
        <w:t xml:space="preserve">3. Gestion des tickets (GitHub Issues)</w:t>
      </w:r>
    </w:p>
    <w:p>
      <w:pPr>
        <w:spacing w:after="120" w:line="276"/>
      </w:pPr>
      <w:r>
        <w:rPr>
          <w:sz w:val="21"/>
          <w:szCs w:val="21"/>
        </w:rPr>
        <w:t xml:space="preserve">Chaque dépôt utilise GitHub Issues comme outil de ticketing, avec des modèles de saisie guidés.</w:t>
      </w:r>
    </w:p>
    <w:p>
      <w:pPr>
        <w:spacing w:after="120" w:line="276"/>
      </w:pPr>
      <w:r>
        <w:rPr>
          <w:b/>
          <w:bCs/>
          <w:sz w:val="21"/>
          <w:szCs w:val="21"/>
        </w:rPr>
        <w:t xml:space="preserve">Modèles d'issue. </w:t>
      </w:r>
      <w:r>
        <w:rPr>
          <w:sz w:val="21"/>
          <w:szCs w:val="21"/>
        </w:rPr>
        <w:t xml:space="preserve">Trois formulaires par dépôt (</w:t>
      </w:r>
      <w:r>
        <w:rPr>
          <w:rFonts w:ascii="Consolas" w:cs="Consolas" w:eastAsia="Consolas" w:hAnsi="Consolas"/>
          <w:color w:val="2C5F4A"/>
          <w:sz w:val="19"/>
          <w:szCs w:val="19"/>
        </w:rPr>
        <w:t xml:space="preserve">.github/ISSUE_TEMPLATE/</w:t>
      </w:r>
      <w:r>
        <w:rPr>
          <w:sz w:val="21"/>
          <w:szCs w:val="21"/>
        </w:rPr>
        <w:t xml:space="preserve">) : Bug, Fonctionnalité, Question. Chacun impose des champs obligatoires (reproduction, criticité, environnement…). Les issues vierges sont désactivées ; les vulnérabilités sont redirigées vers un advisory privé.</w:t>
      </w:r>
    </w:p>
    <w:p>
      <w:pPr>
        <w:spacing w:after="120" w:line="276"/>
      </w:pPr>
      <w:r>
        <w:rPr>
          <w:b/>
          <w:bCs/>
          <w:sz w:val="21"/>
          <w:szCs w:val="21"/>
        </w:rPr>
        <w:t xml:space="preserve">Labels. </w:t>
      </w:r>
      <w:r>
        <w:rPr>
          <w:sz w:val="21"/>
          <w:szCs w:val="21"/>
        </w:rPr>
        <w:t xml:space="preserve">Jeu homogène : </w:t>
      </w:r>
      <w:r>
        <w:rPr>
          <w:rFonts w:ascii="Consolas" w:cs="Consolas" w:eastAsia="Consolas" w:hAnsi="Consolas"/>
          <w:color w:val="2C5F4A"/>
          <w:sz w:val="19"/>
          <w:szCs w:val="19"/>
        </w:rPr>
        <w:t xml:space="preserve">bug</w:t>
      </w:r>
      <w:r>
        <w:rPr>
          <w:sz w:val="21"/>
          <w:szCs w:val="21"/>
        </w:rPr>
        <w:t xml:space="preserve">, </w:t>
      </w:r>
      <w:r>
        <w:rPr>
          <w:rFonts w:ascii="Consolas" w:cs="Consolas" w:eastAsia="Consolas" w:hAnsi="Consolas"/>
          <w:color w:val="2C5F4A"/>
          <w:sz w:val="19"/>
          <w:szCs w:val="19"/>
        </w:rPr>
        <w:t xml:space="preserve">enhancement</w:t>
      </w:r>
      <w:r>
        <w:rPr>
          <w:sz w:val="21"/>
          <w:szCs w:val="21"/>
        </w:rPr>
        <w:t xml:space="preserve">, </w:t>
      </w:r>
      <w:r>
        <w:rPr>
          <w:rFonts w:ascii="Consolas" w:cs="Consolas" w:eastAsia="Consolas" w:hAnsi="Consolas"/>
          <w:color w:val="2C5F4A"/>
          <w:sz w:val="19"/>
          <w:szCs w:val="19"/>
        </w:rPr>
        <w:t xml:space="preserve">security</w:t>
      </w:r>
      <w:r>
        <w:rPr>
          <w:sz w:val="21"/>
          <w:szCs w:val="21"/>
        </w:rPr>
        <w:t xml:space="preserve">, </w:t>
      </w:r>
      <w:r>
        <w:rPr>
          <w:rFonts w:ascii="Consolas" w:cs="Consolas" w:eastAsia="Consolas" w:hAnsi="Consolas"/>
          <w:color w:val="2C5F4A"/>
          <w:sz w:val="19"/>
          <w:szCs w:val="19"/>
        </w:rPr>
        <w:t xml:space="preserve">dependencies</w:t>
      </w:r>
      <w:r>
        <w:rPr>
          <w:sz w:val="21"/>
          <w:szCs w:val="21"/>
        </w:rPr>
        <w:t xml:space="preserve">, </w:t>
      </w:r>
      <w:r>
        <w:rPr>
          <w:rFonts w:ascii="Consolas" w:cs="Consolas" w:eastAsia="Consolas" w:hAnsi="Consolas"/>
          <w:color w:val="2C5F4A"/>
          <w:sz w:val="19"/>
          <w:szCs w:val="19"/>
        </w:rPr>
        <w:t xml:space="preserve">documentation</w:t>
      </w:r>
      <w:r>
        <w:rPr>
          <w:sz w:val="21"/>
          <w:szCs w:val="21"/>
        </w:rPr>
        <w:t xml:space="preserve">, </w:t>
      </w:r>
      <w:r>
        <w:rPr>
          <w:rFonts w:ascii="Consolas" w:cs="Consolas" w:eastAsia="Consolas" w:hAnsi="Consolas"/>
          <w:color w:val="2C5F4A"/>
          <w:sz w:val="19"/>
          <w:szCs w:val="19"/>
        </w:rPr>
        <w:t xml:space="preserve">question</w:t>
      </w:r>
      <w:r>
        <w:rPr>
          <w:sz w:val="21"/>
          <w:szCs w:val="21"/>
        </w:rPr>
        <w:t xml:space="preserve">, plus un label par composant.</w:t>
      </w:r>
    </w:p>
    <w:p>
      <w:pPr>
        <w:spacing w:after="120" w:line="276"/>
      </w:pPr>
      <w:r>
        <w:rPr>
          <w:b/>
          <w:bCs/>
          <w:sz w:val="21"/>
          <w:szCs w:val="21"/>
        </w:rPr>
        <w:t xml:space="preserve">Milestones. </w:t>
      </w:r>
      <w:r>
        <w:rPr>
          <w:sz w:val="21"/>
          <w:szCs w:val="21"/>
        </w:rPr>
        <w:t xml:space="preserve">Chaque dépôt possède une milestone </w:t>
      </w:r>
      <w:r>
        <w:rPr>
          <w:rFonts w:ascii="Consolas" w:cs="Consolas" w:eastAsia="Consolas" w:hAnsi="Consolas"/>
          <w:color w:val="2C5F4A"/>
          <w:sz w:val="19"/>
          <w:szCs w:val="19"/>
        </w:rPr>
        <w:t xml:space="preserve">BL3</w:t>
      </w:r>
      <w:r>
        <w:rPr>
          <w:sz w:val="21"/>
          <w:szCs w:val="21"/>
        </w:rPr>
        <w:t xml:space="preserve"> regroupant le reste-à-faire, avec barre de progression.</w:t>
      </w:r>
    </w:p>
    <w:p>
      <w:pPr>
        <w:spacing w:after="120" w:line="276"/>
      </w:pPr>
      <w:r>
        <w:rPr>
          <w:b/>
          <w:bCs/>
          <w:sz w:val="21"/>
          <w:szCs w:val="21"/>
        </w:rPr>
        <w:t xml:space="preserve">Cycle de vie d'un ticket. </w:t>
      </w:r>
      <w:r>
        <w:rPr>
          <w:sz w:val="21"/>
          <w:szCs w:val="21"/>
        </w:rPr>
        <w:t xml:space="preserve">Ouverture (formulaire) → triage (investigation citant le code) → correction ou fermeture justifiée. Une issue non reproductible ou déjà couverte est fermée en « not planned » avec explication, jamais laissée ouverte à vide.</w:t>
      </w:r>
    </w:p>
    <w:p>
      <w:pPr>
        <w:pageBreakBefore/>
      </w:pPr>
    </w:p>
    <w:p>
      <w:pPr>
        <w:pStyle w:val="Heading1"/>
        <w:spacing w:after="160" w:before="320"/>
      </w:pPr>
      <w:r>
        <w:rPr>
          <w:b/>
          <w:bCs/>
          <w:color w:val="2C5F4A"/>
          <w:sz w:val="30"/>
          <w:szCs w:val="30"/>
        </w:rPr>
        <w:t xml:space="preserve">4. Maintenance préventive — mises à jour</w:t>
      </w:r>
    </w:p>
    <w:p>
      <w:pPr>
        <w:spacing w:after="120" w:line="276"/>
      </w:pPr>
      <w:r>
        <w:rPr>
          <w:b/>
          <w:bCs/>
          <w:sz w:val="21"/>
          <w:szCs w:val="21"/>
        </w:rPr>
        <w:t xml:space="preserve">Dependabot. </w:t>
      </w:r>
      <w:r>
        <w:rPr>
          <w:sz w:val="21"/>
          <w:szCs w:val="21"/>
        </w:rPr>
        <w:t xml:space="preserve">Configuré sur les trois dépôts, il ouvre chaque semaine des pull requests de mise à jour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Dépôt</w:t>
            </w:r>
          </w:p>
        </w:tc>
        <w:tc>
          <w:tcPr>
            <w:tcW w:type="dxa" w:w="32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Écosystèmes</w:t>
            </w:r>
          </w:p>
        </w:tc>
        <w:tc>
          <w:tcPr>
            <w:tcW w:type="dxa" w:w="36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Particularités</w:t>
            </w:r>
          </w:p>
        </w:tc>
      </w:tr>
      <w:tr>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api_zen</w:t>
            </w:r>
          </w:p>
        </w:tc>
        <w:tc>
          <w:tcPr>
            <w:tcW w:type="dxa" w:w="3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Maven, Docker, github-actions</w:t>
            </w:r>
          </w:p>
        </w:tc>
        <w:tc>
          <w:tcPr>
            <w:tcW w:type="dxa" w:w="3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Groupes jjwt et jackson (bumps solidaires)</w:t>
            </w:r>
          </w:p>
        </w:tc>
      </w:tr>
      <w:tr>
        <w:tc>
          <w:tcPr>
            <w:tcW w:type="dxa" w:w="22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cesizen_web</w:t>
            </w:r>
          </w:p>
        </w:tc>
        <w:tc>
          <w:tcPr>
            <w:tcW w:type="dxa" w:w="32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npm, github-actions</w:t>
            </w:r>
          </w:p>
        </w:tc>
        <w:tc>
          <w:tcPr>
            <w:tcW w:type="dxa" w:w="36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Groupes react/next ; ignore les majeures de react-day-picker (cassantes)</w:t>
            </w:r>
          </w:p>
        </w:tc>
      </w:tr>
      <w:tr>
        <w:tc>
          <w:tcPr>
            <w:tcW w:type="dxa" w:w="2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cesizen_mobile</w:t>
            </w:r>
          </w:p>
        </w:tc>
        <w:tc>
          <w:tcPr>
            <w:tcW w:type="dxa" w:w="3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pub, github-actions</w:t>
            </w:r>
          </w:p>
        </w:tc>
        <w:tc>
          <w:tcPr>
            <w:tcW w:type="dxa" w:w="36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w:t>
            </w:r>
          </w:p>
        </w:tc>
      </w:tr>
    </w:tbl>
    <w:p>
      <w:pPr>
        <w:spacing w:after="120" w:line="276"/>
      </w:pPr>
      <w:r>
        <w:rPr>
          <w:b/>
          <w:bCs/>
          <w:sz w:val="21"/>
          <w:szCs w:val="21"/>
        </w:rPr>
        <w:t xml:space="preserve">Procédure de traitement. </w:t>
      </w:r>
      <w:r>
        <w:rPr>
          <w:sz w:val="21"/>
          <w:szCs w:val="21"/>
        </w:rPr>
        <w:t xml:space="preserve">Une PR Dependabot est mergée uniquement si la CI est verte. Une montée majeure cassante (ex : react-day-picker 9→10) est fermée et, si récurrente, neutralisée par une règle </w:t>
      </w:r>
      <w:r>
        <w:rPr>
          <w:rFonts w:ascii="Consolas" w:cs="Consolas" w:eastAsia="Consolas" w:hAnsi="Consolas"/>
          <w:color w:val="2C5F4A"/>
          <w:sz w:val="19"/>
          <w:szCs w:val="19"/>
        </w:rPr>
        <w:t xml:space="preserve">ignore</w:t>
      </w:r>
      <w:r>
        <w:rPr>
          <w:sz w:val="21"/>
          <w:szCs w:val="21"/>
        </w:rPr>
        <w:t xml:space="preserve"> dans </w:t>
      </w:r>
      <w:r>
        <w:rPr>
          <w:rFonts w:ascii="Consolas" w:cs="Consolas" w:eastAsia="Consolas" w:hAnsi="Consolas"/>
          <w:color w:val="2C5F4A"/>
          <w:sz w:val="19"/>
          <w:szCs w:val="19"/>
        </w:rPr>
        <w:t xml:space="preserve">dependabot.yml</w:t>
      </w:r>
      <w:r>
        <w:rPr>
          <w:sz w:val="21"/>
          <w:szCs w:val="21"/>
        </w:rPr>
        <w:t xml:space="preserve">. Les artefacts d'un même BOM sont groupés pour éviter les bumps partiels dangereux.</w:t>
      </w:r>
    </w:p>
    <w:p>
      <w:pPr>
        <w:spacing w:after="120" w:line="276"/>
      </w:pPr>
      <w:r>
        <w:rPr>
          <w:b/>
          <w:bCs/>
          <w:sz w:val="21"/>
          <w:szCs w:val="21"/>
        </w:rPr>
        <w:t xml:space="preserve">Scans continus. </w:t>
      </w:r>
      <w:r>
        <w:rPr>
          <w:sz w:val="21"/>
          <w:szCs w:val="21"/>
        </w:rPr>
        <w:t xml:space="preserve">Trivy et Gitleaks tournent à chaque push et chaque nuit ; OWASP Dependency Check effectue un scan NVD approfondi nocturne sur l'API. Toute CVE CRITICAL/HIGH corrigible fait échouer la CI.</w:t>
      </w:r>
    </w:p>
    <w:p>
      <w:pPr>
        <w:pStyle w:val="Heading1"/>
        <w:spacing w:after="160" w:before="320"/>
      </w:pPr>
      <w:r>
        <w:rPr>
          <w:b/>
          <w:bCs/>
          <w:color w:val="2C5F4A"/>
          <w:sz w:val="30"/>
          <w:szCs w:val="30"/>
        </w:rPr>
        <w:t xml:space="preserve">5. Veille technologique</w:t>
      </w:r>
    </w:p>
    <w:p>
      <w:pPr>
        <w:spacing w:after="120" w:line="276"/>
      </w:pPr>
      <w:r>
        <w:rPr>
          <w:sz w:val="21"/>
          <w:szCs w:val="21"/>
        </w:rPr>
        <w:t xml:space="preserve">La veille s'appuie sur des sources ciblées : </w:t>
      </w:r>
      <w:r>
        <w:rPr>
          <w:b/>
          <w:bCs/>
          <w:sz w:val="21"/>
          <w:szCs w:val="21"/>
        </w:rPr>
        <w:t xml:space="preserve">spring.io/blog</w:t>
      </w:r>
      <w:r>
        <w:rPr>
          <w:sz w:val="21"/>
          <w:szCs w:val="21"/>
        </w:rPr>
        <w:t xml:space="preserve"> et les GitHub Releases (backend), </w:t>
      </w:r>
      <w:r>
        <w:rPr>
          <w:b/>
          <w:bCs/>
          <w:sz w:val="21"/>
          <w:szCs w:val="21"/>
        </w:rPr>
        <w:t xml:space="preserve">nextjs.org/blog</w:t>
      </w:r>
      <w:r>
        <w:rPr>
          <w:sz w:val="21"/>
          <w:szCs w:val="21"/>
        </w:rPr>
        <w:t xml:space="preserve"> et le changelog Vercel (front), </w:t>
      </w:r>
      <w:r>
        <w:rPr>
          <w:b/>
          <w:bCs/>
          <w:sz w:val="21"/>
          <w:szCs w:val="21"/>
        </w:rPr>
        <w:t xml:space="preserve">flutter.dev</w:t>
      </w:r>
      <w:r>
        <w:rPr>
          <w:sz w:val="21"/>
          <w:szCs w:val="21"/>
        </w:rPr>
        <w:t xml:space="preserve"> et pub.dev (mobile), et pour la sécurité </w:t>
      </w:r>
      <w:r>
        <w:rPr>
          <w:b/>
          <w:bCs/>
          <w:sz w:val="21"/>
          <w:szCs w:val="21"/>
        </w:rPr>
        <w:t xml:space="preserve">OWASP</w:t>
      </w:r>
      <w:r>
        <w:rPr>
          <w:sz w:val="21"/>
          <w:szCs w:val="21"/>
        </w:rPr>
        <w:t xml:space="preserve">, </w:t>
      </w:r>
      <w:r>
        <w:rPr>
          <w:b/>
          <w:bCs/>
          <w:sz w:val="21"/>
          <w:szCs w:val="21"/>
        </w:rPr>
        <w:t xml:space="preserve">CVE Mitre</w:t>
      </w:r>
      <w:r>
        <w:rPr>
          <w:sz w:val="21"/>
          <w:szCs w:val="21"/>
        </w:rPr>
        <w:t xml:space="preserve"> et la base d'avis GitHub. Le suivi passe par l'abonnement (Watch) aux dépôts des dépendances critiques et par Dependabot, qui matérialise automatiquement les nouvelles versions. Trois fiches de veille détaillées accompagnent ce dossier.</w:t>
      </w:r>
    </w:p>
    <w:p>
      <w:pPr>
        <w:pStyle w:val="Heading1"/>
        <w:spacing w:after="160" w:before="320"/>
      </w:pPr>
      <w:r>
        <w:rPr>
          <w:b/>
          <w:bCs/>
          <w:color w:val="2C5F4A"/>
          <w:sz w:val="30"/>
          <w:szCs w:val="30"/>
        </w:rPr>
        <w:t xml:space="preserve">6. Procédure de réponse à incident</w:t>
      </w:r>
    </w:p>
    <w:p>
      <w:pPr>
        <w:pStyle w:val="ListParagraph"/>
        <w:numPr>
          <w:ilvl w:val="0"/>
          <w:numId w:val="2"/>
        </w:numPr>
        <w:spacing w:after="80"/>
      </w:pPr>
      <w:r>
        <w:rPr>
          <w:b/>
          <w:bCs/>
          <w:sz w:val="21"/>
          <w:szCs w:val="21"/>
        </w:rPr>
        <w:t xml:space="preserve">Détection. </w:t>
      </w:r>
      <w:r>
        <w:rPr>
          <w:sz w:val="21"/>
          <w:szCs w:val="21"/>
        </w:rPr>
        <w:t xml:space="preserve">Alerte Dependabot, échec de scan sécurité, logs anormaux (log_connexion / log_activite), ou signalement utilisateur via une issue.</w:t>
      </w:r>
    </w:p>
    <w:p>
      <w:pPr>
        <w:pStyle w:val="ListParagraph"/>
        <w:numPr>
          <w:ilvl w:val="0"/>
          <w:numId w:val="2"/>
        </w:numPr>
        <w:spacing w:after="80"/>
      </w:pPr>
      <w:r>
        <w:rPr>
          <w:b/>
          <w:bCs/>
          <w:sz w:val="21"/>
          <w:szCs w:val="21"/>
        </w:rPr>
        <w:t xml:space="preserve">Isolation. </w:t>
      </w:r>
      <w:r>
        <w:rPr>
          <w:sz w:val="21"/>
          <w:szCs w:val="21"/>
        </w:rPr>
        <w:t xml:space="preserve">Couper le service concerné si nécessaire ; en cas de compromission de token, rotation du secret JWT (invalide tous les tokens).</w:t>
      </w:r>
    </w:p>
    <w:p>
      <w:pPr>
        <w:pStyle w:val="ListParagraph"/>
        <w:numPr>
          <w:ilvl w:val="0"/>
          <w:numId w:val="2"/>
        </w:numPr>
        <w:spacing w:after="80"/>
      </w:pPr>
      <w:r>
        <w:rPr>
          <w:b/>
          <w:bCs/>
          <w:sz w:val="21"/>
          <w:szCs w:val="21"/>
        </w:rPr>
        <w:t xml:space="preserve">Analyse. </w:t>
      </w:r>
      <w:r>
        <w:rPr>
          <w:sz w:val="21"/>
          <w:szCs w:val="21"/>
        </w:rPr>
        <w:t xml:space="preserve">Examiner les journaux d'activité et de connexion pour délimiter l'impact.</w:t>
      </w:r>
    </w:p>
    <w:p>
      <w:pPr>
        <w:pStyle w:val="ListParagraph"/>
        <w:numPr>
          <w:ilvl w:val="0"/>
          <w:numId w:val="2"/>
        </w:numPr>
        <w:spacing w:after="80"/>
      </w:pPr>
      <w:r>
        <w:rPr>
          <w:b/>
          <w:bCs/>
          <w:sz w:val="21"/>
          <w:szCs w:val="21"/>
        </w:rPr>
        <w:t xml:space="preserve">Correction. </w:t>
      </w:r>
      <w:r>
        <w:rPr>
          <w:sz w:val="21"/>
          <w:szCs w:val="21"/>
        </w:rPr>
        <w:t xml:space="preserve">Patch → pull request → CI verte → redéploiement.</w:t>
      </w:r>
    </w:p>
    <w:p>
      <w:pPr>
        <w:pStyle w:val="ListParagraph"/>
        <w:numPr>
          <w:ilvl w:val="0"/>
          <w:numId w:val="2"/>
        </w:numPr>
        <w:spacing w:after="80"/>
      </w:pPr>
      <w:r>
        <w:rPr>
          <w:b/>
          <w:bCs/>
          <w:sz w:val="21"/>
          <w:szCs w:val="21"/>
        </w:rPr>
        <w:t xml:space="preserve">Communication. </w:t>
      </w:r>
      <w:r>
        <w:rPr>
          <w:sz w:val="21"/>
          <w:szCs w:val="21"/>
        </w:rPr>
        <w:t xml:space="preserve">Notifier les utilisateurs si des données personnelles sont concernées.</w:t>
      </w:r>
    </w:p>
    <w:p>
      <w:pPr>
        <w:pStyle w:val="ListParagraph"/>
        <w:numPr>
          <w:ilvl w:val="0"/>
          <w:numId w:val="2"/>
        </w:numPr>
        <w:spacing w:after="80"/>
      </w:pPr>
      <w:r>
        <w:rPr>
          <w:b/>
          <w:bCs/>
          <w:sz w:val="21"/>
          <w:szCs w:val="21"/>
        </w:rPr>
        <w:t xml:space="preserve">RGPD. </w:t>
      </w:r>
      <w:r>
        <w:rPr>
          <w:sz w:val="21"/>
          <w:szCs w:val="21"/>
        </w:rPr>
        <w:t xml:space="preserve">Notification à la CNIL sous 72 h en cas de violation de données personnelles.</w:t>
      </w:r>
    </w:p>
    <w:p>
      <w:pPr>
        <w:pStyle w:val="Heading1"/>
        <w:spacing w:after="160" w:before="320"/>
      </w:pPr>
      <w:r>
        <w:rPr>
          <w:b/>
          <w:bCs/>
          <w:color w:val="2C5F4A"/>
          <w:sz w:val="30"/>
          <w:szCs w:val="30"/>
        </w:rPr>
        <w:t xml:space="preserve">7. Types de maintenance et engagements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Type</w:t>
            </w:r>
          </w:p>
        </w:tc>
        <w:tc>
          <w:tcPr>
            <w:tcW w:type="dxa" w:w="42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Périmètre</w:t>
            </w:r>
          </w:p>
        </w:tc>
        <w:tc>
          <w:tcPr>
            <w:tcW w:type="dxa" w:w="30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Engagement indicatif</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Préventive</w:t>
            </w:r>
          </w:p>
        </w:tc>
        <w:tc>
          <w:tcPr>
            <w:tcW w:type="dxa" w:w="4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Mises à jour hebdomadaires (Dependabot), revue des logs, scans nocturnes</w:t>
            </w:r>
          </w:p>
        </w:tc>
        <w:tc>
          <w:tcPr>
            <w:tcW w:type="dxa" w:w="3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Continue</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Corrective</w:t>
            </w:r>
          </w:p>
        </w:tc>
        <w:tc>
          <w:tcPr>
            <w:tcW w:type="dxa" w:w="42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Bugs introduits par les développements CESIZen</w:t>
            </w:r>
          </w:p>
        </w:tc>
        <w:tc>
          <w:tcPr>
            <w:tcW w:type="dxa" w:w="30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Critique &lt; 24 h · Majeur &lt; 72 h · Mineur : prochaine release</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Évolutive</w:t>
            </w:r>
          </w:p>
        </w:tc>
        <w:tc>
          <w:tcPr>
            <w:tcW w:type="dxa" w:w="42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Nouvelles fonctionnalités via issue + PR + revue</w:t>
            </w:r>
          </w:p>
        </w:tc>
        <w:tc>
          <w:tcPr>
            <w:tcW w:type="dxa" w:w="30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Priorisation par milestone</w:t>
            </w:r>
          </w:p>
        </w:tc>
      </w:tr>
    </w:tbl>
    <w:p>
      <w:pPr>
        <w:spacing w:after="120" w:line="276"/>
      </w:pPr>
      <w:r>
        <w:rPr>
          <w:b/>
          <w:bCs/>
          <w:sz w:val="21"/>
          <w:szCs w:val="21"/>
        </w:rPr>
        <w:t xml:space="preserve">Hors périmètre corrective. </w:t>
      </w:r>
      <w:r>
        <w:rPr>
          <w:sz w:val="21"/>
          <w:szCs w:val="21"/>
        </w:rPr>
        <w:t xml:space="preserve">Pannes de l'hébergeur, failles de composants tiers non encore patchés en amont, indisponibilités de services externes (Vercel, Supabase).</w:t>
      </w:r>
    </w:p>
    <w:p>
      <w:pPr>
        <w:pStyle w:val="Heading1"/>
        <w:spacing w:after="160" w:before="320"/>
      </w:pPr>
      <w:r>
        <w:rPr>
          <w:b/>
          <w:bCs/>
          <w:color w:val="2C5F4A"/>
          <w:sz w:val="30"/>
          <w:szCs w:val="30"/>
        </w:rPr>
        <w:t xml:space="preserve">8. Conclusion</w:t>
      </w:r>
    </w:p>
    <w:p>
      <w:pPr>
        <w:spacing w:after="120" w:line="276"/>
      </w:pPr>
      <w:r>
        <w:rPr>
          <w:sz w:val="21"/>
          <w:szCs w:val="21"/>
        </w:rPr>
        <w:t xml:space="preserve">La maintenance de CESIZen repose sur l'automatisation (Dependabot, scans, CI) et sur une traçabilité complète (issues, milestones, journaux d'audit). La supervision est opérationnelle, avec une amélioration identifiée — la sonde externe — pour couvrir le cas de l'indisponibilité totale. Les procédures d'incident et les engagements de service sont documentés et reproductibles.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CESIZen — Dossier de 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2026-07-09T21:38:06.745Z</dcterms:created>
  <dcterms:modified xsi:type="dcterms:W3CDTF">2026-07-09T21:38:06.746Z</dcterms:modified>
</cp:coreProperties>
</file>

<file path=docProps/custom.xml><?xml version="1.0" encoding="utf-8"?>
<Properties xmlns="http://schemas.openxmlformats.org/officeDocument/2006/custom-properties" xmlns:vt="http://schemas.openxmlformats.org/officeDocument/2006/docPropsVTypes"/>
</file>