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2C5F4A"/>
          <w:sz w:val="72"/>
          <w:szCs w:val="72"/>
        </w:rPr>
        <w:t xml:space="preserve">CESIZen</w:t>
      </w:r>
    </w:p>
    <w:p>
      <w:pPr>
        <w:spacing w:after="600"/>
        <w:jc w:val="center"/>
      </w:pPr>
      <w:r>
        <w:rPr>
          <w:i/>
          <w:iCs/>
          <w:color w:val="4B6B59"/>
          <w:sz w:val="24"/>
          <w:szCs w:val="24"/>
        </w:rPr>
        <w:t xml:space="preserve">Plateforme de bien-être numérique</w:t>
      </w:r>
    </w:p>
    <w:p>
      <w:pPr>
        <w:spacing w:after="0" w:before="400"/>
        <w:jc w:val="center"/>
      </w:pPr>
      <w:r>
        <w:rPr>
          <w:b/>
          <w:bCs/>
          <w:color w:val="1F2A24"/>
          <w:sz w:val="40"/>
          <w:szCs w:val="40"/>
        </w:rPr>
        <w:t xml:space="preserve">PLAN DE SÉCURISATION</w:t>
      </w:r>
    </w:p>
    <w:p>
      <w:pPr>
        <w:spacing w:after="800"/>
        <w:jc w:val="center"/>
      </w:pPr>
      <w:r>
        <w:rPr>
          <w:color w:val="4B6B59"/>
          <w:sz w:val="22"/>
          <w:szCs w:val="22"/>
        </w:rPr>
        <w:t xml:space="preserve">Bloc de compétences 3 — Sécuriser les applications</w:t>
      </w:r>
    </w:p>
    <w:p>
      <w:pPr>
        <w:jc w:val="center"/>
      </w:pPr>
      <w:r>
        <w:rPr>
          <w:sz w:val="20"/>
          <w:szCs w:val="20"/>
        </w:rPr>
        <w:t xml:space="preserve">API Spring Boot · Front Next.js · Mobile Flutter</w:t>
      </w:r>
    </w:p>
    <w:p>
      <w:pPr>
        <w:spacing w:before="200"/>
        <w:jc w:val="center"/>
      </w:pPr>
      <w:r>
        <w:rPr>
          <w:color w:val="777777"/>
          <w:sz w:val="20"/>
          <w:szCs w:val="20"/>
        </w:rPr>
        <w:t xml:space="preserve">Version 1.0 — Juillet 2026</w:t>
      </w:r>
    </w:p>
    <w:p>
      <w:pPr>
        <w:pageBreakBefore/>
      </w:pPr>
    </w:p>
    <w:p>
      <w:pPr>
        <w:pStyle w:val="Heading1"/>
        <w:spacing w:after="160" w:before="320"/>
      </w:pPr>
      <w:r>
        <w:rPr>
          <w:b/>
          <w:bCs/>
          <w:color w:val="2C5F4A"/>
          <w:sz w:val="30"/>
          <w:szCs w:val="30"/>
        </w:rPr>
        <w:t xml:space="preserve">1. Objet et périmètre</w:t>
      </w:r>
    </w:p>
    <w:p>
      <w:pPr>
        <w:spacing w:after="120" w:line="276"/>
      </w:pPr>
      <w:r>
        <w:rPr>
          <w:sz w:val="21"/>
          <w:szCs w:val="21"/>
        </w:rPr>
        <w:t xml:space="preserve">Ce document décrit les mesures de sécurité mises en œuvre sur l'ensemble des composants de la plateforme CESIZen, ainsi que les risques résiduels identifiés et les actions recommandées. Il couvre les </w:t>
      </w:r>
      <w:r>
        <w:rPr>
          <w:b/>
          <w:bCs/>
          <w:sz w:val="21"/>
          <w:szCs w:val="21"/>
        </w:rPr>
        <w:t xml:space="preserve">trois applications</w:t>
      </w:r>
      <w:r>
        <w:rPr>
          <w:sz w:val="21"/>
          <w:szCs w:val="21"/>
        </w:rPr>
        <w:t xml:space="preserve"> du système :</w:t>
      </w:r>
    </w:p>
    <w:p>
      <w:pPr>
        <w:pStyle w:val="ListParagraph"/>
        <w:numPr>
          <w:ilvl w:val="0"/>
          <w:numId w:val="2"/>
        </w:numPr>
        <w:spacing w:after="80"/>
      </w:pPr>
      <w:r>
        <w:rPr>
          <w:b/>
          <w:bCs/>
          <w:sz w:val="21"/>
          <w:szCs w:val="21"/>
        </w:rPr>
        <w:t xml:space="preserve">API REST — </w:t>
      </w:r>
      <w:r>
        <w:rPr>
          <w:sz w:val="21"/>
          <w:szCs w:val="21"/>
        </w:rPr>
        <w:t xml:space="preserve">Spring Boot 4 / Java 21, cœur métier, authentification, persistance MySQL ;</w:t>
      </w:r>
    </w:p>
    <w:p>
      <w:pPr>
        <w:pStyle w:val="ListParagraph"/>
        <w:numPr>
          <w:ilvl w:val="0"/>
          <w:numId w:val="2"/>
        </w:numPr>
        <w:spacing w:after="80"/>
      </w:pPr>
      <w:r>
        <w:rPr>
          <w:b/>
          <w:bCs/>
          <w:sz w:val="21"/>
          <w:szCs w:val="21"/>
        </w:rPr>
        <w:t xml:space="preserve">Front web — </w:t>
      </w:r>
      <w:r>
        <w:rPr>
          <w:sz w:val="21"/>
          <w:szCs w:val="21"/>
        </w:rPr>
        <w:t xml:space="preserve">Next.js 16 déployé sur Vercel ;</w:t>
      </w:r>
    </w:p>
    <w:p>
      <w:pPr>
        <w:pStyle w:val="ListParagraph"/>
        <w:numPr>
          <w:ilvl w:val="0"/>
          <w:numId w:val="2"/>
        </w:numPr>
        <w:spacing w:after="80"/>
      </w:pPr>
      <w:r>
        <w:rPr>
          <w:b/>
          <w:bCs/>
          <w:sz w:val="21"/>
          <w:szCs w:val="21"/>
        </w:rPr>
        <w:t xml:space="preserve">Application mobile — </w:t>
      </w:r>
      <w:r>
        <w:rPr>
          <w:sz w:val="21"/>
          <w:szCs w:val="21"/>
        </w:rPr>
        <w:t xml:space="preserve">Flutter (Android / iOS), consommatrice de l'API.</w:t>
      </w:r>
    </w:p>
    <w:p>
      <w:pPr>
        <w:spacing w:after="120" w:line="276"/>
      </w:pPr>
      <w:r>
        <w:rPr>
          <w:sz w:val="21"/>
          <w:szCs w:val="21"/>
        </w:rPr>
        <w:t xml:space="preserve">La démarche suit le référentiel </w:t>
      </w:r>
      <w:r>
        <w:rPr>
          <w:b/>
          <w:bCs/>
          <w:sz w:val="21"/>
          <w:szCs w:val="21"/>
        </w:rPr>
        <w:t xml:space="preserve">OWASP Top 10 (2021)</w:t>
      </w:r>
      <w:r>
        <w:rPr>
          <w:sz w:val="21"/>
          <w:szCs w:val="21"/>
        </w:rPr>
        <w:t xml:space="preserve"> et applique le principe de </w:t>
      </w:r>
      <w:r>
        <w:rPr>
          <w:b/>
          <w:bCs/>
          <w:sz w:val="21"/>
          <w:szCs w:val="21"/>
        </w:rPr>
        <w:t xml:space="preserve">sécurité par conception</w:t>
      </w:r>
      <w:r>
        <w:rPr>
          <w:sz w:val="21"/>
          <w:szCs w:val="21"/>
        </w:rPr>
        <w:t xml:space="preserve"> (secure by design) : blocage par défaut, ouverture explicite du strict nécessaire.</w:t>
      </w:r>
    </w:p>
    <w:p>
      <w:pPr>
        <w:pStyle w:val="Heading1"/>
        <w:spacing w:after="160" w:before="320"/>
      </w:pPr>
      <w:r>
        <w:rPr>
          <w:b/>
          <w:bCs/>
          <w:color w:val="2C5F4A"/>
          <w:sz w:val="30"/>
          <w:szCs w:val="30"/>
        </w:rPr>
        <w:t xml:space="preserve">2. Couverture OWASP Top 10 (2021)</w:t>
      </w:r>
    </w:p>
    <w:p>
      <w:pPr>
        <w:spacing w:after="120" w:line="276"/>
      </w:pPr>
      <w:r>
        <w:rPr>
          <w:sz w:val="21"/>
          <w:szCs w:val="21"/>
        </w:rPr>
        <w:t xml:space="preserve">Le tableau ci-dessous associe chaque catégorie de risque OWASP aux mesures concrètes déployées sur la plateforme.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2400"/>
        <w:gridCol w:w="6106"/>
      </w:tblGrid>
      <w:tr>
        <w:trPr>
          <w:tblHeader/>
        </w:trPr>
        <w:tc>
          <w:tcPr>
            <w:tcW w:type="dxa" w:w="52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w:t>
            </w:r>
          </w:p>
        </w:tc>
        <w:tc>
          <w:tcPr>
            <w:tcW w:type="dxa" w:w="24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Catégorie</w:t>
            </w:r>
          </w:p>
        </w:tc>
        <w:tc>
          <w:tcPr>
            <w:tcW w:type="dxa" w:w="610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Mesures mises en place</w:t>
            </w:r>
          </w:p>
        </w:tc>
      </w:tr>
      <w:tr>
        <w:tc>
          <w:tcPr>
            <w:tcW w:type="dxa" w:w="52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A01</w:t>
            </w:r>
          </w:p>
        </w:tc>
        <w:tc>
          <w:tcPr>
            <w:tcW w:type="dxa" w:w="2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Broken Access Control</w:t>
            </w:r>
          </w:p>
        </w:tc>
        <w:tc>
          <w:tcPr>
            <w:tcW w:type="dxa" w:w="610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JWT obligatoire hors routes publiques ; @EnableMethodSecurity + @PreAuthorize par rôle (ROLE_ADMIN / ROLE_USER) ; comptes désactivables.</w:t>
            </w:r>
          </w:p>
        </w:tc>
      </w:tr>
      <w:tr>
        <w:tc>
          <w:tcPr>
            <w:tcW w:type="dxa" w:w="52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A02</w:t>
            </w:r>
          </w:p>
        </w:tc>
        <w:tc>
          <w:tcPr>
            <w:tcW w:type="dxa" w:w="2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Cryptographic Failures</w:t>
            </w:r>
          </w:p>
        </w:tc>
        <w:tc>
          <w:tcPr>
            <w:tcW w:type="dxa" w:w="610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Mots de passe BCrypt (force 10) ; JWT signé HMAC-SHA256, secret en variable d'environnement ; HTTPS + HSTS en production.</w:t>
            </w:r>
          </w:p>
        </w:tc>
      </w:tr>
      <w:tr>
        <w:tc>
          <w:tcPr>
            <w:tcW w:type="dxa" w:w="52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A03</w:t>
            </w:r>
          </w:p>
        </w:tc>
        <w:tc>
          <w:tcPr>
            <w:tcW w:type="dxa" w:w="2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Injection</w:t>
            </w:r>
          </w:p>
        </w:tc>
        <w:tc>
          <w:tcPr>
            <w:tcW w:type="dxa" w:w="610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Spring Data JPA (requêtes paramétrées, pas de SQL dynamique) ; validation Jakarta @Valid sur tous les DTO.</w:t>
            </w:r>
          </w:p>
        </w:tc>
      </w:tr>
      <w:tr>
        <w:tc>
          <w:tcPr>
            <w:tcW w:type="dxa" w:w="52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A04</w:t>
            </w:r>
          </w:p>
        </w:tc>
        <w:tc>
          <w:tcPr>
            <w:tcW w:type="dxa" w:w="2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Insecure Design</w:t>
            </w:r>
          </w:p>
        </w:tc>
        <w:tc>
          <w:tcPr>
            <w:tcW w:type="dxa" w:w="610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Moindre privilège (user MySQL dédié) ; API stateless ; réponse neutre sur mot de passe oublié (anti-énumération).</w:t>
            </w:r>
          </w:p>
        </w:tc>
      </w:tr>
      <w:tr>
        <w:tc>
          <w:tcPr>
            <w:tcW w:type="dxa" w:w="52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A05</w:t>
            </w:r>
          </w:p>
        </w:tc>
        <w:tc>
          <w:tcPr>
            <w:tcW w:type="dxa" w:w="2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Security Misconfiguration</w:t>
            </w:r>
          </w:p>
        </w:tc>
        <w:tc>
          <w:tcPr>
            <w:tcW w:type="dxa" w:w="610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CSRF désactivé (REST stateless) ; Swagger désactivé en prod ; en-têtes HTTP de sécurité (CSP, X-Frame-Options, etc.).</w:t>
            </w:r>
          </w:p>
        </w:tc>
      </w:tr>
      <w:tr>
        <w:tc>
          <w:tcPr>
            <w:tcW w:type="dxa" w:w="52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A06</w:t>
            </w:r>
          </w:p>
        </w:tc>
        <w:tc>
          <w:tcPr>
            <w:tcW w:type="dxa" w:w="2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Vulnerable Components</w:t>
            </w:r>
          </w:p>
        </w:tc>
        <w:tc>
          <w:tcPr>
            <w:tcW w:type="dxa" w:w="610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Dependabot (3 écosystèmes) ; Trivy à chaque CI ; CVE Jackson et Tomcat corrigées ; CVE Next.js 16 corrigée.</w:t>
            </w:r>
          </w:p>
        </w:tc>
      </w:tr>
      <w:tr>
        <w:tc>
          <w:tcPr>
            <w:tcW w:type="dxa" w:w="52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A07</w:t>
            </w:r>
          </w:p>
        </w:tc>
        <w:tc>
          <w:tcPr>
            <w:tcW w:type="dxa" w:w="2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Auth Failures</w:t>
            </w:r>
          </w:p>
        </w:tc>
        <w:tc>
          <w:tcPr>
            <w:tcW w:type="dxa" w:w="610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Rate limiting bucket4j (5/min login, 3/10 min mot de passe oublié) ; tokens de reset à usage unique ; logs de connexion.</w:t>
            </w:r>
          </w:p>
        </w:tc>
      </w:tr>
      <w:tr>
        <w:tc>
          <w:tcPr>
            <w:tcW w:type="dxa" w:w="52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A08</w:t>
            </w:r>
          </w:p>
        </w:tc>
        <w:tc>
          <w:tcPr>
            <w:tcW w:type="dxa" w:w="2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Software/Data Integrity</w:t>
            </w:r>
          </w:p>
        </w:tc>
        <w:tc>
          <w:tcPr>
            <w:tcW w:type="dxa" w:w="610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CI avec Gitleaks + Trivy ; images Docker signées poussées sur GHCR ; Dependabot sur les actions GitHub.</w:t>
            </w:r>
          </w:p>
        </w:tc>
      </w:tr>
      <w:tr>
        <w:tc>
          <w:tcPr>
            <w:tcW w:type="dxa" w:w="52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A09</w:t>
            </w:r>
          </w:p>
        </w:tc>
        <w:tc>
          <w:tcPr>
            <w:tcW w:type="dxa" w:w="2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Logging &amp; Monitoring</w:t>
            </w:r>
          </w:p>
        </w:tc>
        <w:tc>
          <w:tcPr>
            <w:tcW w:type="dxa" w:w="610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LogConnexion (login succès/échec, IP) ; LogActivite (audit AOP des mutations) ; stack Prometheus + Grafana + Loki.</w:t>
            </w:r>
          </w:p>
        </w:tc>
      </w:tr>
      <w:tr>
        <w:tc>
          <w:tcPr>
            <w:tcW w:type="dxa" w:w="52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A10</w:t>
            </w:r>
          </w:p>
        </w:tc>
        <w:tc>
          <w:tcPr>
            <w:tcW w:type="dxa" w:w="2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SSRF</w:t>
            </w:r>
          </w:p>
        </w:tc>
        <w:tc>
          <w:tcPr>
            <w:tcW w:type="dxa" w:w="610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Aucun endpoint n'effectue de requête vers une URL fournie par l'utilisateur ; SMTP configuré statiquement.</w:t>
            </w:r>
          </w:p>
        </w:tc>
      </w:tr>
    </w:tbl>
    <w:p>
      <w:pPr>
        <w:pageBreakBefore/>
      </w:pPr>
    </w:p>
    <w:p>
      <w:pPr>
        <w:pStyle w:val="Heading1"/>
        <w:spacing w:after="160" w:before="320"/>
      </w:pPr>
      <w:r>
        <w:rPr>
          <w:b/>
          <w:bCs/>
          <w:color w:val="2C5F4A"/>
          <w:sz w:val="30"/>
          <w:szCs w:val="30"/>
        </w:rPr>
        <w:t xml:space="preserve">3. Mesures détaillées par application</w:t>
      </w:r>
    </w:p>
    <w:p>
      <w:pPr>
        <w:pStyle w:val="Heading2"/>
        <w:spacing w:after="120" w:before="220"/>
      </w:pPr>
      <w:r>
        <w:rPr>
          <w:b/>
          <w:bCs/>
          <w:color w:val="4B6B59"/>
          <w:sz w:val="24"/>
          <w:szCs w:val="24"/>
        </w:rPr>
        <w:t xml:space="preserve">3.1 API — Spring Boot</w:t>
      </w:r>
    </w:p>
    <w:p>
      <w:pPr>
        <w:spacing w:after="120" w:line="276"/>
      </w:pPr>
      <w:r>
        <w:rPr>
          <w:b/>
          <w:bCs/>
          <w:sz w:val="21"/>
          <w:szCs w:val="21"/>
        </w:rPr>
        <w:t xml:space="preserve">Authentification &amp; autorisation. </w:t>
      </w:r>
      <w:r>
        <w:rPr>
          <w:sz w:val="21"/>
          <w:szCs w:val="21"/>
        </w:rPr>
        <w:t xml:space="preserve">Système stateless JWT : login via </w:t>
      </w:r>
      <w:r>
        <w:rPr>
          <w:rFonts w:ascii="Consolas" w:cs="Consolas" w:eastAsia="Consolas" w:hAnsi="Consolas"/>
          <w:color w:val="2C5F4A"/>
          <w:sz w:val="19"/>
          <w:szCs w:val="19"/>
        </w:rPr>
        <w:t xml:space="preserve">POST /api/auth/login</w:t>
      </w:r>
      <w:r>
        <w:rPr>
          <w:sz w:val="21"/>
          <w:szCs w:val="21"/>
        </w:rPr>
        <w:t xml:space="preserve">, token signé HMAC-SHA256 renvoyé au client, validé à chaque requête par un filtre Spring Security. Les rôles (ROLE_ADMIN / ROLE_USER) sont portés par le token et contrôlés via </w:t>
      </w:r>
      <w:r>
        <w:rPr>
          <w:rFonts w:ascii="Consolas" w:cs="Consolas" w:eastAsia="Consolas" w:hAnsi="Consolas"/>
          <w:color w:val="2C5F4A"/>
          <w:sz w:val="19"/>
          <w:szCs w:val="19"/>
        </w:rPr>
        <w:t xml:space="preserve">@PreAuthorize</w:t>
      </w:r>
      <w:r>
        <w:rPr>
          <w:sz w:val="21"/>
          <w:szCs w:val="21"/>
        </w:rPr>
        <w:t xml:space="preserve">.</w:t>
      </w:r>
    </w:p>
    <w:p>
      <w:pPr>
        <w:spacing w:after="120" w:line="276"/>
      </w:pPr>
      <w:r>
        <w:rPr>
          <w:b/>
          <w:bCs/>
          <w:sz w:val="21"/>
          <w:szCs w:val="21"/>
        </w:rPr>
        <w:t xml:space="preserve">Rate limiting (bucket4j). </w:t>
      </w:r>
      <w:r>
        <w:rPr>
          <w:sz w:val="21"/>
          <w:szCs w:val="21"/>
        </w:rPr>
        <w:t xml:space="preserve">Un filtre </w:t>
      </w:r>
      <w:r>
        <w:rPr>
          <w:rFonts w:ascii="Consolas" w:cs="Consolas" w:eastAsia="Consolas" w:hAnsi="Consolas"/>
          <w:color w:val="2C5F4A"/>
          <w:sz w:val="19"/>
          <w:szCs w:val="19"/>
        </w:rPr>
        <w:t xml:space="preserve">OncePerRequestFilter</w:t>
      </w:r>
      <w:r>
        <w:rPr>
          <w:sz w:val="21"/>
          <w:szCs w:val="21"/>
        </w:rPr>
        <w:t xml:space="preserve"> limite par adresse IP les endpoints sensibles, avec réponse HTTP 429 en cas de dépassement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426"/>
      </w:tblGrid>
      <w:tr>
        <w:trPr>
          <w:tblHeader/>
        </w:trPr>
        <w:tc>
          <w:tcPr>
            <w:tcW w:type="dxa" w:w="36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Endpoint</w:t>
            </w:r>
          </w:p>
        </w:tc>
        <w:tc>
          <w:tcPr>
            <w:tcW w:type="dxa" w:w="20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Limite</w:t>
            </w:r>
          </w:p>
        </w:tc>
        <w:tc>
          <w:tcPr>
            <w:tcW w:type="dxa" w:w="34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Protection</w:t>
            </w:r>
          </w:p>
        </w:tc>
      </w:tr>
      <w:tr>
        <w:tc>
          <w:tcPr>
            <w:tcW w:type="dxa" w:w="3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POST /api/auth/login</w:t>
            </w:r>
          </w:p>
        </w:tc>
        <w:tc>
          <w:tcPr>
            <w:tcW w:type="dxa" w:w="2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5 / minute</w:t>
            </w:r>
          </w:p>
        </w:tc>
        <w:tc>
          <w:tcPr>
            <w:tcW w:type="dxa" w:w="34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Brute-force</w:t>
            </w:r>
          </w:p>
        </w:tc>
      </w:tr>
      <w:tr>
        <w:tc>
          <w:tcPr>
            <w:tcW w:type="dxa" w:w="36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POST /api/auth/forgot-password</w:t>
            </w:r>
          </w:p>
        </w:tc>
        <w:tc>
          <w:tcPr>
            <w:tcW w:type="dxa" w:w="20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3 / 10 minutes</w:t>
            </w:r>
          </w:p>
        </w:tc>
        <w:tc>
          <w:tcPr>
            <w:tcW w:type="dxa" w:w="34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Énumération de comptes, spam d'e-mails</w:t>
            </w:r>
          </w:p>
        </w:tc>
      </w:tr>
    </w:tbl>
    <w:p>
      <w:pPr>
        <w:spacing w:after="120" w:line="276"/>
      </w:pPr>
      <w:r>
        <w:rPr>
          <w:b/>
          <w:bCs/>
          <w:sz w:val="21"/>
          <w:szCs w:val="21"/>
        </w:rPr>
        <w:t xml:space="preserve">En-têtes HTTP. </w:t>
      </w:r>
      <w:r>
        <w:rPr>
          <w:sz w:val="21"/>
          <w:szCs w:val="21"/>
        </w:rPr>
        <w:t xml:space="preserve">Posés à deux niveaux (Spring Security + reverse-proxy nginx) : </w:t>
      </w:r>
      <w:r>
        <w:rPr>
          <w:rFonts w:ascii="Consolas" w:cs="Consolas" w:eastAsia="Consolas" w:hAnsi="Consolas"/>
          <w:color w:val="2C5F4A"/>
          <w:sz w:val="19"/>
          <w:szCs w:val="19"/>
        </w:rPr>
        <w:t xml:space="preserve">X-Frame-Options: DENY</w:t>
      </w:r>
      <w:r>
        <w:rPr>
          <w:sz w:val="21"/>
          <w:szCs w:val="21"/>
        </w:rPr>
        <w:t xml:space="preserve">, </w:t>
      </w:r>
      <w:r>
        <w:rPr>
          <w:rFonts w:ascii="Consolas" w:cs="Consolas" w:eastAsia="Consolas" w:hAnsi="Consolas"/>
          <w:color w:val="2C5F4A"/>
          <w:sz w:val="19"/>
          <w:szCs w:val="19"/>
        </w:rPr>
        <w:t xml:space="preserve">X-Content-Type-Options: nosniff</w:t>
      </w:r>
      <w:r>
        <w:rPr>
          <w:sz w:val="21"/>
          <w:szCs w:val="21"/>
        </w:rPr>
        <w:t xml:space="preserve">, </w:t>
      </w:r>
      <w:r>
        <w:rPr>
          <w:rFonts w:ascii="Consolas" w:cs="Consolas" w:eastAsia="Consolas" w:hAnsi="Consolas"/>
          <w:color w:val="2C5F4A"/>
          <w:sz w:val="19"/>
          <w:szCs w:val="19"/>
        </w:rPr>
        <w:t xml:space="preserve">Referrer-Policy</w:t>
      </w:r>
      <w:r>
        <w:rPr>
          <w:sz w:val="21"/>
          <w:szCs w:val="21"/>
        </w:rPr>
        <w:t xml:space="preserve">, </w:t>
      </w:r>
      <w:r>
        <w:rPr>
          <w:rFonts w:ascii="Consolas" w:cs="Consolas" w:eastAsia="Consolas" w:hAnsi="Consolas"/>
          <w:color w:val="2C5F4A"/>
          <w:sz w:val="19"/>
          <w:szCs w:val="19"/>
        </w:rPr>
        <w:t xml:space="preserve">Content-Security-Policy</w:t>
      </w:r>
      <w:r>
        <w:rPr>
          <w:sz w:val="21"/>
          <w:szCs w:val="21"/>
        </w:rPr>
        <w:t xml:space="preserve">, </w:t>
      </w:r>
      <w:r>
        <w:rPr>
          <w:rFonts w:ascii="Consolas" w:cs="Consolas" w:eastAsia="Consolas" w:hAnsi="Consolas"/>
          <w:color w:val="2C5F4A"/>
          <w:sz w:val="19"/>
          <w:szCs w:val="19"/>
        </w:rPr>
        <w:t xml:space="preserve">Permissions-Policy</w:t>
      </w:r>
      <w:r>
        <w:rPr>
          <w:sz w:val="21"/>
          <w:szCs w:val="21"/>
        </w:rPr>
        <w:t xml:space="preserve">, et </w:t>
      </w:r>
      <w:r>
        <w:rPr>
          <w:rFonts w:ascii="Consolas" w:cs="Consolas" w:eastAsia="Consolas" w:hAnsi="Consolas"/>
          <w:color w:val="2C5F4A"/>
          <w:sz w:val="19"/>
          <w:szCs w:val="19"/>
        </w:rPr>
        <w:t xml:space="preserve">Strict-Transport-Security</w:t>
      </w:r>
      <w:r>
        <w:rPr>
          <w:sz w:val="21"/>
          <w:szCs w:val="21"/>
        </w:rPr>
        <w:t xml:space="preserve"> (HSTS) en production.</w:t>
      </w:r>
    </w:p>
    <w:p>
      <w:pPr>
        <w:spacing w:after="120" w:line="276"/>
      </w:pPr>
      <w:r>
        <w:rPr>
          <w:b/>
          <w:bCs/>
          <w:sz w:val="21"/>
          <w:szCs w:val="21"/>
        </w:rPr>
        <w:t xml:space="preserve">Moindre privilège base de données. </w:t>
      </w:r>
      <w:r>
        <w:rPr>
          <w:sz w:val="21"/>
          <w:szCs w:val="21"/>
        </w:rPr>
        <w:t xml:space="preserve">En production, l'utilisateur applicatif </w:t>
      </w:r>
      <w:r>
        <w:rPr>
          <w:rFonts w:ascii="Consolas" w:cs="Consolas" w:eastAsia="Consolas" w:hAnsi="Consolas"/>
          <w:color w:val="2C5F4A"/>
          <w:sz w:val="19"/>
          <w:szCs w:val="19"/>
        </w:rPr>
        <w:t xml:space="preserve">cesizen_app</w:t>
      </w:r>
      <w:r>
        <w:rPr>
          <w:sz w:val="21"/>
          <w:szCs w:val="21"/>
        </w:rPr>
        <w:t xml:space="preserve"> est privé des droits DDL (CREATE, ALTER, DROP…) via un script d'init ; seuls SELECT/INSERT/UPDATE/DELETE subsistent. Une injection SQL réussie ne pourrait pas altérer le schéma.</w:t>
      </w:r>
    </w:p>
    <w:p>
      <w:pPr>
        <w:spacing w:after="120" w:line="276"/>
      </w:pPr>
      <w:r>
        <w:rPr>
          <w:b/>
          <w:bCs/>
          <w:sz w:val="21"/>
          <w:szCs w:val="21"/>
        </w:rPr>
        <w:t xml:space="preserve">Secrets. </w:t>
      </w:r>
      <w:r>
        <w:rPr>
          <w:sz w:val="21"/>
          <w:szCs w:val="21"/>
        </w:rPr>
        <w:t xml:space="preserve">Le secret JWT a été retiré du code source (il figurait en valeur par défaut commitée) et régénéré. Il n'existe désormais que dans les variables d'environnement et les secrets GitHub (Actions + Dependabot). Gitleaks bloque toute réintroduction accidentelle.</w:t>
      </w:r>
    </w:p>
    <w:p>
      <w:pPr>
        <w:spacing w:after="120" w:line="276"/>
      </w:pPr>
      <w:r>
        <w:rPr>
          <w:b/>
          <w:bCs/>
          <w:sz w:val="21"/>
          <w:szCs w:val="21"/>
        </w:rPr>
        <w:t xml:space="preserve">CVE corrigées. </w:t>
      </w:r>
      <w:r>
        <w:rPr>
          <w:sz w:val="21"/>
          <w:szCs w:val="21"/>
        </w:rPr>
        <w:t xml:space="preserve">jackson-databind (CVE-2026-54512 / CVE-2026-54513) via import de BOM 2.21.4 / 3.1.4 ; Tomcat forcé en 11.0.22. Swagger désactivé en production.</w:t>
      </w:r>
    </w:p>
    <w:p>
      <w:pPr>
        <w:pStyle w:val="Heading2"/>
        <w:spacing w:after="120" w:before="220"/>
      </w:pPr>
      <w:r>
        <w:rPr>
          <w:b/>
          <w:bCs/>
          <w:color w:val="4B6B59"/>
          <w:sz w:val="24"/>
          <w:szCs w:val="24"/>
        </w:rPr>
        <w:t xml:space="preserve">3.2 Front — Next.js</w:t>
      </w:r>
    </w:p>
    <w:p>
      <w:pPr>
        <w:spacing w:after="120" w:line="276"/>
      </w:pPr>
      <w:r>
        <w:rPr>
          <w:b/>
          <w:bCs/>
          <w:sz w:val="21"/>
          <w:szCs w:val="21"/>
        </w:rPr>
        <w:t xml:space="preserve">En-têtes de sécurité. </w:t>
      </w:r>
      <w:r>
        <w:rPr>
          <w:sz w:val="21"/>
          <w:szCs w:val="21"/>
        </w:rPr>
        <w:t xml:space="preserve">Configurés dans </w:t>
      </w:r>
      <w:r>
        <w:rPr>
          <w:rFonts w:ascii="Consolas" w:cs="Consolas" w:eastAsia="Consolas" w:hAnsi="Consolas"/>
          <w:color w:val="2C5F4A"/>
          <w:sz w:val="19"/>
          <w:szCs w:val="19"/>
        </w:rPr>
        <w:t xml:space="preserve">next.config.ts</w:t>
      </w:r>
      <w:r>
        <w:rPr>
          <w:sz w:val="21"/>
          <w:szCs w:val="21"/>
        </w:rPr>
        <w:t xml:space="preserve"> : les six en-têtes (dont une CSP construite dynamiquement à partir des origines autorisées — API et Supabase uniquement). Le HSTS n'est émis qu'en production pour ne pas forcer HTTPS en local.</w:t>
      </w:r>
    </w:p>
    <w:p>
      <w:pPr>
        <w:spacing w:after="120" w:line="276"/>
      </w:pPr>
      <w:r>
        <w:rPr>
          <w:b/>
          <w:bCs/>
          <w:sz w:val="21"/>
          <w:szCs w:val="21"/>
        </w:rPr>
        <w:t xml:space="preserve">CSP — compromis assumé. </w:t>
      </w:r>
      <w:r>
        <w:rPr>
          <w:sz w:val="21"/>
          <w:szCs w:val="21"/>
        </w:rPr>
        <w:t xml:space="preserve">La politique autorise </w:t>
      </w:r>
      <w:r>
        <w:rPr>
          <w:rFonts w:ascii="Consolas" w:cs="Consolas" w:eastAsia="Consolas" w:hAnsi="Consolas"/>
          <w:color w:val="2C5F4A"/>
          <w:sz w:val="19"/>
          <w:szCs w:val="19"/>
        </w:rPr>
        <w:t xml:space="preserve">'unsafe-inline'</w:t>
      </w:r>
      <w:r>
        <w:rPr>
          <w:sz w:val="21"/>
          <w:szCs w:val="21"/>
        </w:rPr>
        <w:t xml:space="preserve"> sur script/style : le App Router de Next.js injecte des scripts d'hydratation et styles inline. La solution propre (nonce par requête via middleware) est identifiée comme évolution (issue #9) mais hors périmètre immédiat.</w:t>
      </w:r>
    </w:p>
    <w:p>
      <w:pPr>
        <w:spacing w:after="120" w:line="276"/>
      </w:pPr>
      <w:r>
        <w:rPr>
          <w:b/>
          <w:bCs/>
          <w:sz w:val="21"/>
          <w:szCs w:val="21"/>
        </w:rPr>
        <w:t xml:space="preserve">CVE corrigée. </w:t>
      </w:r>
      <w:r>
        <w:rPr>
          <w:sz w:val="21"/>
          <w:szCs w:val="21"/>
        </w:rPr>
        <w:t xml:space="preserve">Next.js 16.2.2 portait des CVE HIGH (contournement de middleware, GHSA-36qx-fr4f-26g5), détectées par le scan CI. Corrigées par montée en 16.2.10. Reste une CVE moderate (postcss embarqué dans le toolchain de Next), sous le seuil bloquant, tracée en issue #13.</w:t>
      </w:r>
    </w:p>
    <w:p>
      <w:pPr>
        <w:pStyle w:val="Heading2"/>
        <w:spacing w:after="120" w:before="220"/>
      </w:pPr>
      <w:r>
        <w:rPr>
          <w:b/>
          <w:bCs/>
          <w:color w:val="4B6B59"/>
          <w:sz w:val="24"/>
          <w:szCs w:val="24"/>
        </w:rPr>
        <w:t xml:space="preserve">3.3 Mobile — Flutter</w:t>
      </w:r>
    </w:p>
    <w:p>
      <w:pPr>
        <w:spacing w:after="120" w:line="276"/>
      </w:pPr>
      <w:r>
        <w:rPr>
          <w:b/>
          <w:bCs/>
          <w:sz w:val="21"/>
          <w:szCs w:val="21"/>
        </w:rPr>
        <w:t xml:space="preserve">Analyse &amp; scan. </w:t>
      </w:r>
      <w:r>
        <w:rPr>
          <w:sz w:val="21"/>
          <w:szCs w:val="21"/>
        </w:rPr>
        <w:t xml:space="preserve">La CI exécute </w:t>
      </w:r>
      <w:r>
        <w:rPr>
          <w:rFonts w:ascii="Consolas" w:cs="Consolas" w:eastAsia="Consolas" w:hAnsi="Consolas"/>
          <w:color w:val="2C5F4A"/>
          <w:sz w:val="19"/>
          <w:szCs w:val="19"/>
        </w:rPr>
        <w:t xml:space="preserve">flutter analyze</w:t>
      </w:r>
      <w:r>
        <w:rPr>
          <w:sz w:val="21"/>
          <w:szCs w:val="21"/>
        </w:rPr>
        <w:t xml:space="preserve"> (bloquant) et </w:t>
      </w:r>
      <w:r>
        <w:rPr>
          <w:rFonts w:ascii="Consolas" w:cs="Consolas" w:eastAsia="Consolas" w:hAnsi="Consolas"/>
          <w:color w:val="2C5F4A"/>
          <w:sz w:val="19"/>
          <w:szCs w:val="19"/>
        </w:rPr>
        <w:t xml:space="preserve">flutter test</w:t>
      </w:r>
      <w:r>
        <w:rPr>
          <w:sz w:val="21"/>
          <w:szCs w:val="21"/>
        </w:rPr>
        <w:t xml:space="preserve"> ; le workflow sécurité scanne </w:t>
      </w:r>
      <w:r>
        <w:rPr>
          <w:rFonts w:ascii="Consolas" w:cs="Consolas" w:eastAsia="Consolas" w:hAnsi="Consolas"/>
          <w:color w:val="2C5F4A"/>
          <w:sz w:val="19"/>
          <w:szCs w:val="19"/>
        </w:rPr>
        <w:t xml:space="preserve">pubspec.lock</w:t>
      </w:r>
      <w:r>
        <w:rPr>
          <w:sz w:val="21"/>
          <w:szCs w:val="21"/>
        </w:rPr>
        <w:t xml:space="preserve"> (CVE pub.dev), les secrets et les mauvaises configurations via Trivy, plus Gitleaks.</w:t>
      </w:r>
    </w:p>
    <w:p>
      <w:pPr>
        <w:spacing w:after="120" w:line="276"/>
      </w:pPr>
      <w:r>
        <w:rPr>
          <w:b/>
          <w:bCs/>
          <w:sz w:val="21"/>
          <w:szCs w:val="21"/>
        </w:rPr>
        <w:t xml:space="preserve">Correction. </w:t>
      </w:r>
      <w:r>
        <w:rPr>
          <w:sz w:val="21"/>
          <w:szCs w:val="21"/>
        </w:rPr>
        <w:t xml:space="preserve">Un anti-pattern </w:t>
      </w:r>
      <w:r>
        <w:rPr>
          <w:rFonts w:ascii="Consolas" w:cs="Consolas" w:eastAsia="Consolas" w:hAnsi="Consolas"/>
          <w:color w:val="2C5F4A"/>
          <w:sz w:val="19"/>
          <w:szCs w:val="19"/>
        </w:rPr>
        <w:t xml:space="preserve">use_build_context_synchronously</w:t>
      </w:r>
      <w:r>
        <w:rPr>
          <w:sz w:val="21"/>
          <w:szCs w:val="21"/>
        </w:rPr>
        <w:t xml:space="preserve"> (BuildContext utilisé après un await) a été corrigé par une garde </w:t>
      </w:r>
      <w:r>
        <w:rPr>
          <w:rFonts w:ascii="Consolas" w:cs="Consolas" w:eastAsia="Consolas" w:hAnsi="Consolas"/>
          <w:color w:val="2C5F4A"/>
          <w:sz w:val="19"/>
          <w:szCs w:val="19"/>
        </w:rPr>
        <w:t xml:space="preserve">context.mounted</w:t>
      </w:r>
      <w:r>
        <w:rPr>
          <w:sz w:val="21"/>
          <w:szCs w:val="21"/>
        </w:rPr>
        <w:t xml:space="preserve">.</w:t>
      </w:r>
    </w:p>
    <w:p>
      <w:pPr>
        <w:spacing w:after="120" w:line="276"/>
      </w:pPr>
      <w:r>
        <w:rPr>
          <w:b/>
          <w:bCs/>
          <w:sz w:val="21"/>
          <w:szCs w:val="21"/>
        </w:rPr>
        <w:t xml:space="preserve">Point de vigilance. </w:t>
      </w:r>
      <w:r>
        <w:rPr>
          <w:sz w:val="21"/>
          <w:szCs w:val="21"/>
        </w:rPr>
        <w:t xml:space="preserve">Le fichier de données de démonstration contient un mot de passe en clair (</w:t>
      </w:r>
      <w:r>
        <w:rPr>
          <w:rFonts w:ascii="Consolas" w:cs="Consolas" w:eastAsia="Consolas" w:hAnsi="Consolas"/>
          <w:color w:val="2C5F4A"/>
          <w:sz w:val="19"/>
          <w:szCs w:val="19"/>
        </w:rPr>
        <w:t xml:space="preserve">Cesizen123!</w:t>
      </w:r>
      <w:r>
        <w:rPr>
          <w:sz w:val="21"/>
          <w:szCs w:val="21"/>
        </w:rPr>
        <w:t xml:space="preserve">). Comme le dépôt est public, il faut s'assurer qu'aucun compte réel de production n'utilise ce mot de passe. Signalé comme risque résiduel.</w:t>
      </w:r>
    </w:p>
    <w:p>
      <w:pPr>
        <w:pStyle w:val="Heading1"/>
        <w:spacing w:after="160" w:before="320"/>
      </w:pPr>
      <w:r>
        <w:rPr>
          <w:b/>
          <w:bCs/>
          <w:color w:val="2C5F4A"/>
          <w:sz w:val="30"/>
          <w:szCs w:val="30"/>
        </w:rPr>
        <w:t xml:space="preserve">4. Sécurité de la chaîne de livraison (CI/CD)</w:t>
      </w:r>
    </w:p>
    <w:p>
      <w:pPr>
        <w:spacing w:after="120" w:line="276"/>
      </w:pPr>
      <w:r>
        <w:rPr>
          <w:sz w:val="21"/>
          <w:szCs w:val="21"/>
        </w:rPr>
        <w:t xml:space="preserve">Chaque dépôt dispose d'un pipeline de sécurité automatisé, séparé de la CI fonctionnelle et déclenché à chaque push, chaque pull request et chaque nuit.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626"/>
      </w:tblGrid>
      <w:tr>
        <w:trPr>
          <w:tblHeader/>
        </w:trPr>
        <w:tc>
          <w:tcPr>
            <w:tcW w:type="dxa" w:w="20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Outil</w:t>
            </w:r>
          </w:p>
        </w:tc>
        <w:tc>
          <w:tcPr>
            <w:tcW w:type="dxa" w:w="44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Rôle</w:t>
            </w:r>
          </w:p>
        </w:tc>
        <w:tc>
          <w:tcPr>
            <w:tcW w:type="dxa" w:w="26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Portée</w:t>
            </w:r>
          </w:p>
        </w:tc>
      </w:tr>
      <w:tr>
        <w:tc>
          <w:tcPr>
            <w:tcW w:type="dxa" w:w="2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Trivy</w:t>
            </w:r>
          </w:p>
        </w:tc>
        <w:tc>
          <w:tcPr>
            <w:tcW w:type="dxa" w:w="4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CVE des dépendances, secrets, mauvaises configs, image Docker (API)</w:t>
            </w:r>
          </w:p>
        </w:tc>
        <w:tc>
          <w:tcPr>
            <w:tcW w:type="dxa" w:w="2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3 apps</w:t>
            </w:r>
          </w:p>
        </w:tc>
      </w:tr>
      <w:tr>
        <w:tc>
          <w:tcPr>
            <w:tcW w:type="dxa" w:w="20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Gitleaks</w:t>
            </w:r>
          </w:p>
        </w:tc>
        <w:tc>
          <w:tcPr>
            <w:tcW w:type="dxa" w:w="4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Détection de secrets dans l'historique git</w:t>
            </w:r>
          </w:p>
        </w:tc>
        <w:tc>
          <w:tcPr>
            <w:tcW w:type="dxa" w:w="26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3 apps</w:t>
            </w:r>
          </w:p>
        </w:tc>
      </w:tr>
      <w:tr>
        <w:tc>
          <w:tcPr>
            <w:tcW w:type="dxa" w:w="2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OWASP Dependency Check</w:t>
            </w:r>
          </w:p>
        </w:tc>
        <w:tc>
          <w:tcPr>
            <w:tcW w:type="dxa" w:w="4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Scan approfondi base NVD (nocturne)</w:t>
            </w:r>
          </w:p>
        </w:tc>
        <w:tc>
          <w:tcPr>
            <w:tcW w:type="dxa" w:w="2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API</w:t>
            </w:r>
          </w:p>
        </w:tc>
      </w:tr>
      <w:tr>
        <w:tc>
          <w:tcPr>
            <w:tcW w:type="dxa" w:w="20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Dependabot</w:t>
            </w:r>
          </w:p>
        </w:tc>
        <w:tc>
          <w:tcPr>
            <w:tcW w:type="dxa" w:w="4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Mises à jour préventives (Maven, npm, pub, actions)</w:t>
            </w:r>
          </w:p>
        </w:tc>
        <w:tc>
          <w:tcPr>
            <w:tcW w:type="dxa" w:w="26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3 apps</w:t>
            </w:r>
          </w:p>
        </w:tc>
      </w:tr>
      <w:tr>
        <w:tc>
          <w:tcPr>
            <w:tcW w:type="dxa" w:w="2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SonarCloud</w:t>
            </w:r>
          </w:p>
        </w:tc>
        <w:tc>
          <w:tcPr>
            <w:tcW w:type="dxa" w:w="4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Analyse statique (SAST), couverture</w:t>
            </w:r>
          </w:p>
        </w:tc>
        <w:tc>
          <w:tcPr>
            <w:tcW w:type="dxa" w:w="2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API</w:t>
            </w:r>
          </w:p>
        </w:tc>
      </w:tr>
    </w:tbl>
    <w:p>
      <w:pPr>
        <w:spacing w:after="120" w:line="276"/>
      </w:pPr>
      <w:r>
        <w:rPr>
          <w:sz w:val="21"/>
          <w:szCs w:val="21"/>
        </w:rPr>
        <w:t xml:space="preserve">La branche </w:t>
      </w:r>
      <w:r>
        <w:rPr>
          <w:rFonts w:ascii="Consolas" w:cs="Consolas" w:eastAsia="Consolas" w:hAnsi="Consolas"/>
          <w:color w:val="2C5F4A"/>
          <w:sz w:val="19"/>
          <w:szCs w:val="19"/>
        </w:rPr>
        <w:t xml:space="preserve">main</w:t>
      </w:r>
      <w:r>
        <w:rPr>
          <w:sz w:val="21"/>
          <w:szCs w:val="21"/>
        </w:rPr>
        <w:t xml:space="preserve"> de chaque dépôt est protégée par un </w:t>
      </w:r>
      <w:r>
        <w:rPr>
          <w:b/>
          <w:bCs/>
          <w:sz w:val="21"/>
          <w:szCs w:val="21"/>
        </w:rPr>
        <w:t xml:space="preserve">ruleset</w:t>
      </w:r>
      <w:r>
        <w:rPr>
          <w:sz w:val="21"/>
          <w:szCs w:val="21"/>
        </w:rPr>
        <w:t xml:space="preserve"> : pull request obligatoire et checks de sécurité verts exigés avant tout merge.</w:t>
      </w:r>
    </w:p>
    <w:p>
      <w:pPr>
        <w:pStyle w:val="Heading1"/>
        <w:spacing w:after="160" w:before="320"/>
      </w:pPr>
      <w:r>
        <w:rPr>
          <w:b/>
          <w:bCs/>
          <w:color w:val="2C5F4A"/>
          <w:sz w:val="30"/>
          <w:szCs w:val="30"/>
        </w:rPr>
        <w:t xml:space="preserve">5. Risques résiduels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4026"/>
      </w:tblGrid>
      <w:tr>
        <w:trPr>
          <w:tblHeader/>
        </w:trPr>
        <w:tc>
          <w:tcPr>
            <w:tcW w:type="dxa" w:w="38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Risque</w:t>
            </w:r>
          </w:p>
        </w:tc>
        <w:tc>
          <w:tcPr>
            <w:tcW w:type="dxa" w:w="12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Gravité</w:t>
            </w:r>
          </w:p>
        </w:tc>
        <w:tc>
          <w:tcPr>
            <w:tcW w:type="dxa" w:w="40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Action recommandée</w:t>
            </w:r>
          </w:p>
        </w:tc>
      </w:tr>
      <w:tr>
        <w:tc>
          <w:tcPr>
            <w:tcW w:type="dxa" w:w="38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Rate limiting en mémoire (perdu au redémarrage, non partagé entre instances)</w:t>
            </w:r>
          </w:p>
        </w:tc>
        <w:tc>
          <w:tcPr>
            <w:tcW w:type="dxa" w:w="1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Faible</w:t>
            </w:r>
          </w:p>
        </w:tc>
        <w:tc>
          <w:tcPr>
            <w:tcW w:type="dxa" w:w="4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Migrer vers bucket4j-redis si haute disponibilité</w:t>
            </w:r>
          </w:p>
        </w:tc>
      </w:tr>
      <w:tr>
        <w:tc>
          <w:tcPr>
            <w:tcW w:type="dxa" w:w="38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CSP avec 'unsafe-inline' (front)</w:t>
            </w:r>
          </w:p>
        </w:tc>
        <w:tc>
          <w:tcPr>
            <w:tcW w:type="dxa" w:w="12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Moyen</w:t>
            </w:r>
          </w:p>
        </w:tc>
        <w:tc>
          <w:tcPr>
            <w:tcW w:type="dxa" w:w="40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Passer aux nonces via middleware (issue #9)</w:t>
            </w:r>
          </w:p>
        </w:tc>
      </w:tr>
      <w:tr>
        <w:tc>
          <w:tcPr>
            <w:tcW w:type="dxa" w:w="38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CVE moderate postcss (toolchain Next)</w:t>
            </w:r>
          </w:p>
        </w:tc>
        <w:tc>
          <w:tcPr>
            <w:tcW w:type="dxa" w:w="1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Faible</w:t>
            </w:r>
          </w:p>
        </w:tc>
        <w:tc>
          <w:tcPr>
            <w:tcW w:type="dxa" w:w="4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Surveiller les releases Next.js (issue #13)</w:t>
            </w:r>
          </w:p>
        </w:tc>
      </w:tr>
      <w:tr>
        <w:tc>
          <w:tcPr>
            <w:tcW w:type="dxa" w:w="38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Mot de passe de démo public (mobile)</w:t>
            </w:r>
          </w:p>
        </w:tc>
        <w:tc>
          <w:tcPr>
            <w:tcW w:type="dxa" w:w="12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Faible</w:t>
            </w:r>
          </w:p>
        </w:tc>
        <w:tc>
          <w:tcPr>
            <w:tcW w:type="dxa" w:w="40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Vérifier qu'aucun compte prod ne l'utilise</w:t>
            </w:r>
          </w:p>
        </w:tc>
      </w:tr>
      <w:tr>
        <w:tc>
          <w:tcPr>
            <w:tcW w:type="dxa" w:w="38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Secret JWT présent dans l'historique git</w:t>
            </w:r>
          </w:p>
        </w:tc>
        <w:tc>
          <w:tcPr>
            <w:tcW w:type="dxa" w:w="1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Faible</w:t>
            </w:r>
          </w:p>
        </w:tc>
        <w:tc>
          <w:tcPr>
            <w:tcW w:type="dxa" w:w="4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Rotation effectuée ; nettoyage d'historique non nécessaire (ancien secret inopérant)</w:t>
            </w:r>
          </w:p>
        </w:tc>
      </w:tr>
      <w:tr>
        <w:tc>
          <w:tcPr>
            <w:tcW w:type="dxa" w:w="38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Upload de fichiers sans validation MIME réelle</w:t>
            </w:r>
          </w:p>
        </w:tc>
        <w:tc>
          <w:tcPr>
            <w:tcW w:type="dxa" w:w="12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Moyen</w:t>
            </w:r>
          </w:p>
        </w:tc>
        <w:tc>
          <w:tcPr>
            <w:tcW w:type="dxa" w:w="40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Vérifier les magic bytes côté serveur</w:t>
            </w:r>
          </w:p>
        </w:tc>
      </w:tr>
    </w:tbl>
    <w:p>
      <w:pPr>
        <w:pStyle w:val="Heading1"/>
        <w:spacing w:after="160" w:before="320"/>
      </w:pPr>
      <w:r>
        <w:rPr>
          <w:b/>
          <w:bCs/>
          <w:color w:val="2C5F4A"/>
          <w:sz w:val="30"/>
          <w:szCs w:val="30"/>
        </w:rPr>
        <w:t xml:space="preserve">6. Conclusion</w:t>
      </w:r>
    </w:p>
    <w:p>
      <w:pPr>
        <w:spacing w:after="120" w:line="276"/>
      </w:pPr>
      <w:r>
        <w:rPr>
          <w:sz w:val="21"/>
          <w:szCs w:val="21"/>
        </w:rPr>
        <w:t xml:space="preserve">La plateforme applique une défense en profondeur cohérente sur ses trois composants : authentification robuste, limitation de débit, en-têtes de sécurité, moindre privilège, et une chaîne de livraison qui détecte automatiquement CVE et secrets. Les risques résiduels sont identifiés, hiérarchisés et tracés sous forme d'issues GitHub, garantissant leur suivi dans la durée.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CESIZen — Plan de sécurisation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2026-07-09T21:35:12.345Z</dcterms:created>
  <dcterms:modified xsi:type="dcterms:W3CDTF">2026-07-09T21:35:12.347Z</dcterms:modified>
</cp:coreProperties>
</file>

<file path=docProps/custom.xml><?xml version="1.0" encoding="utf-8"?>
<Properties xmlns="http://schemas.openxmlformats.org/officeDocument/2006/custom-properties" xmlns:vt="http://schemas.openxmlformats.org/officeDocument/2006/docPropsVTypes"/>
</file>