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2C5F4A"/>
          <w:sz w:val="72"/>
          <w:szCs w:val="72"/>
        </w:rPr>
        <w:t xml:space="preserve">CESIZen</w:t>
      </w:r>
    </w:p>
    <w:p>
      <w:pPr>
        <w:spacing w:after="600"/>
        <w:jc w:val="center"/>
      </w:pPr>
      <w:r>
        <w:rPr>
          <w:i/>
          <w:iCs/>
          <w:color w:val="4B6B59"/>
          <w:sz w:val="24"/>
          <w:szCs w:val="24"/>
        </w:rPr>
        <w:t xml:space="preserve">Plateforme de bien-être numérique</w:t>
      </w:r>
    </w:p>
    <w:p>
      <w:pPr>
        <w:spacing w:before="400"/>
        <w:jc w:val="center"/>
      </w:pPr>
      <w:r>
        <w:rPr>
          <w:b/>
          <w:bCs/>
          <w:color w:val="1F2A24"/>
          <w:sz w:val="40"/>
          <w:szCs w:val="40"/>
        </w:rPr>
        <w:t xml:space="preserve">PLAN DE DÉPLOIEMENT</w:t>
      </w:r>
    </w:p>
    <w:p>
      <w:pPr>
        <w:spacing w:after="800"/>
        <w:jc w:val="center"/>
      </w:pPr>
      <w:r>
        <w:rPr>
          <w:color w:val="4B6B59"/>
          <w:sz w:val="22"/>
          <w:szCs w:val="22"/>
        </w:rPr>
        <w:t xml:space="preserve">Bloc de compétences 3 — Déployer les applications</w:t>
      </w:r>
    </w:p>
    <w:p>
      <w:pPr>
        <w:jc w:val="center"/>
      </w:pPr>
      <w:r>
        <w:rPr>
          <w:sz w:val="20"/>
          <w:szCs w:val="20"/>
        </w:rPr>
        <w:t xml:space="preserve">API Spring Boot · Front Next.js · Mobile Flutter</w:t>
      </w:r>
    </w:p>
    <w:p>
      <w:pPr>
        <w:spacing w:before="200"/>
        <w:jc w:val="center"/>
      </w:pPr>
      <w:r>
        <w:rPr>
          <w:color w:val="777777"/>
          <w:sz w:val="20"/>
          <w:szCs w:val="20"/>
        </w:rPr>
        <w:t xml:space="preserve">Version 1.0 — Juillet 2026</w:t>
      </w:r>
    </w:p>
    <w:p>
      <w:pPr>
        <w:pageBreakBefore/>
      </w:pPr>
    </w:p>
    <w:p>
      <w:pPr>
        <w:pStyle w:val="Heading1"/>
        <w:spacing w:after="160" w:before="320"/>
      </w:pPr>
      <w:r>
        <w:rPr>
          <w:b/>
          <w:bCs/>
          <w:color w:val="2C5F4A"/>
          <w:sz w:val="30"/>
          <w:szCs w:val="30"/>
        </w:rPr>
        <w:t xml:space="preserve">1. Objet</w:t>
      </w:r>
    </w:p>
    <w:p>
      <w:pPr>
        <w:spacing w:after="120" w:line="276"/>
      </w:pPr>
      <w:r>
        <w:rPr>
          <w:sz w:val="21"/>
          <w:szCs w:val="21"/>
        </w:rPr>
        <w:t xml:space="preserve">Ce document décrit la stratégie de gestion du code source, l'intégration continue (CI) et le déploiement continu (CD) des trois applications de la plateforme CESIZen, ainsi que les environnements et la procédure de mise en production.</w:t>
      </w:r>
    </w:p>
    <w:p>
      <w:pPr>
        <w:pStyle w:val="Heading1"/>
        <w:spacing w:after="160" w:before="320"/>
      </w:pPr>
      <w:r>
        <w:rPr>
          <w:b/>
          <w:bCs/>
          <w:color w:val="2C5F4A"/>
          <w:sz w:val="30"/>
          <w:szCs w:val="30"/>
        </w:rPr>
        <w:t xml:space="preserve">2. Gestion du code source</w:t>
      </w:r>
    </w:p>
    <w:p>
      <w:pPr>
        <w:spacing w:after="120" w:line="276"/>
      </w:pPr>
      <w:r>
        <w:rPr>
          <w:b/>
          <w:bCs/>
          <w:sz w:val="21"/>
          <w:szCs w:val="21"/>
        </w:rPr>
        <w:t xml:space="preserve">Hébergement. </w:t>
      </w:r>
      <w:r>
        <w:rPr>
          <w:sz w:val="21"/>
          <w:szCs w:val="21"/>
        </w:rPr>
        <w:t xml:space="preserve">Trois dépôts GitHub sous l'organisation TxMy-Elu : </w:t>
      </w:r>
      <w:r>
        <w:rPr>
          <w:rFonts w:ascii="Consolas" w:cs="Consolas" w:eastAsia="Consolas" w:hAnsi="Consolas"/>
          <w:color w:val="2C5F4A"/>
          <w:sz w:val="19"/>
          <w:szCs w:val="19"/>
        </w:rPr>
        <w:t xml:space="preserve">api_zen</w:t>
      </w:r>
      <w:r>
        <w:rPr>
          <w:sz w:val="21"/>
          <w:szCs w:val="21"/>
        </w:rPr>
        <w:t xml:space="preserve">, </w:t>
      </w:r>
      <w:r>
        <w:rPr>
          <w:rFonts w:ascii="Consolas" w:cs="Consolas" w:eastAsia="Consolas" w:hAnsi="Consolas"/>
          <w:color w:val="2C5F4A"/>
          <w:sz w:val="19"/>
          <w:szCs w:val="19"/>
        </w:rPr>
        <w:t xml:space="preserve">cesizen_web</w:t>
      </w:r>
      <w:r>
        <w:rPr>
          <w:sz w:val="21"/>
          <w:szCs w:val="21"/>
        </w:rPr>
        <w:t xml:space="preserve">, </w:t>
      </w:r>
      <w:r>
        <w:rPr>
          <w:rFonts w:ascii="Consolas" w:cs="Consolas" w:eastAsia="Consolas" w:hAnsi="Consolas"/>
          <w:color w:val="2C5F4A"/>
          <w:sz w:val="19"/>
          <w:szCs w:val="19"/>
        </w:rPr>
        <w:t xml:space="preserve">cesizen_mobile</w:t>
      </w:r>
      <w:r>
        <w:rPr>
          <w:sz w:val="21"/>
          <w:szCs w:val="21"/>
        </w:rPr>
        <w:t xml:space="preserve">.</w:t>
      </w:r>
    </w:p>
    <w:p>
      <w:pPr>
        <w:spacing w:after="120" w:line="276"/>
      </w:pPr>
      <w:r>
        <w:rPr>
          <w:b/>
          <w:bCs/>
          <w:sz w:val="21"/>
          <w:szCs w:val="21"/>
        </w:rPr>
        <w:t xml:space="preserve">Stratégie de branches. </w:t>
      </w:r>
      <w:r>
        <w:rPr>
          <w:sz w:val="21"/>
          <w:szCs w:val="21"/>
        </w:rPr>
        <w:t xml:space="preserve">Modèle simplifié à deux branches longues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tcBorders>
              <w:top w:val="single" w:color="C9D6CE" w:sz="2"/>
              <w:left w:val="single" w:color="C9D6CE" w:sz="2"/>
              <w:bottom w:val="single" w:color="C9D6CE" w:sz="2"/>
              <w:right w:val="single" w:color="C9D6CE" w:sz="2"/>
            </w:tcBorders>
            <w:shd w:fill="4B6B59" w:color="auto" w:val="clear"/>
            <w:tcMar>
              <w:top w:type="dxa" w:w="60"/>
              <w:left w:type="dxa" w:w="100"/>
              <w:bottom w:type="dxa" w:w="60"/>
              <w:right w:type="dxa" w:w="100"/>
            </w:tcMar>
          </w:tcPr>
          <w:p>
            <w:r>
              <w:rPr>
                <w:b/>
                <w:bCs/>
                <w:color w:val="FFFFFF"/>
                <w:sz w:val="19"/>
                <w:szCs w:val="19"/>
              </w:rPr>
              <w:t xml:space="preserve">Branche</w:t>
            </w:r>
          </w:p>
        </w:tc>
        <w:tc>
          <w:tcPr>
            <w:tcW w:type="dxa" w:w="3400"/>
            <w:tcBorders>
              <w:top w:val="single" w:color="C9D6CE" w:sz="2"/>
              <w:left w:val="single" w:color="C9D6CE" w:sz="2"/>
              <w:bottom w:val="single" w:color="C9D6CE" w:sz="2"/>
              <w:right w:val="single" w:color="C9D6CE" w:sz="2"/>
            </w:tcBorders>
            <w:shd w:fill="4B6B59" w:color="auto" w:val="clear"/>
            <w:tcMar>
              <w:top w:type="dxa" w:w="60"/>
              <w:left w:type="dxa" w:w="100"/>
              <w:bottom w:type="dxa" w:w="60"/>
              <w:right w:type="dxa" w:w="100"/>
            </w:tcMar>
          </w:tcPr>
          <w:p>
            <w:r>
              <w:rPr>
                <w:b/>
                <w:bCs/>
                <w:color w:val="FFFFFF"/>
                <w:sz w:val="19"/>
                <w:szCs w:val="19"/>
              </w:rPr>
              <w:t xml:space="preserve">Rôle</w:t>
            </w:r>
          </w:p>
        </w:tc>
        <w:tc>
          <w:tcPr>
            <w:tcW w:type="dxa" w:w="3026"/>
            <w:tcBorders>
              <w:top w:val="single" w:color="C9D6CE" w:sz="2"/>
              <w:left w:val="single" w:color="C9D6CE" w:sz="2"/>
              <w:bottom w:val="single" w:color="C9D6CE" w:sz="2"/>
              <w:right w:val="single" w:color="C9D6CE" w:sz="2"/>
            </w:tcBorders>
            <w:shd w:fill="4B6B59" w:color="auto" w:val="clear"/>
            <w:tcMar>
              <w:top w:type="dxa" w:w="60"/>
              <w:left w:type="dxa" w:w="100"/>
              <w:bottom w:type="dxa" w:w="60"/>
              <w:right w:type="dxa" w:w="100"/>
            </w:tcMar>
          </w:tcPr>
          <w:p>
            <w:r>
              <w:rPr>
                <w:b/>
                <w:bCs/>
                <w:color w:val="FFFFFF"/>
                <w:sz w:val="19"/>
                <w:szCs w:val="19"/>
              </w:rPr>
              <w:t xml:space="preserve">Protection</w:t>
            </w:r>
          </w:p>
        </w:tc>
      </w:tr>
      <w:tr>
        <w:tc>
          <w:tcPr>
            <w:tcW w:type="dxa" w:w="2600"/>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main</w:t>
            </w:r>
          </w:p>
        </w:tc>
        <w:tc>
          <w:tcPr>
            <w:tcW w:type="dxa" w:w="3400"/>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Production — code stable</w:t>
            </w:r>
          </w:p>
        </w:tc>
        <w:tc>
          <w:tcPr>
            <w:tcW w:type="dxa" w:w="3026"/>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PR obligatoire + checks verts (ruleset)</w:t>
            </w:r>
          </w:p>
        </w:tc>
      </w:tr>
      <w:tr>
        <w:tc>
          <w:tcPr>
            <w:tcW w:type="dxa" w:w="2600"/>
            <w:tcBorders>
              <w:top w:val="single" w:color="C9D6CE" w:sz="2"/>
              <w:left w:val="single" w:color="C9D6CE" w:sz="2"/>
              <w:bottom w:val="single" w:color="C9D6CE" w:sz="2"/>
              <w:right w:val="single" w:color="C9D6CE" w:sz="2"/>
            </w:tcBorders>
            <w:shd w:fill="E8EFEA" w:color="auto" w:val="clear"/>
            <w:tcMar>
              <w:top w:type="dxa" w:w="50"/>
              <w:left w:type="dxa" w:w="100"/>
              <w:bottom w:type="dxa" w:w="50"/>
              <w:right w:type="dxa" w:w="100"/>
            </w:tcMar>
          </w:tcPr>
          <w:p>
            <w:r>
              <w:rPr>
                <w:sz w:val="19"/>
                <w:szCs w:val="19"/>
              </w:rPr>
              <w:t xml:space="preserve">develop / dev</w:t>
            </w:r>
          </w:p>
        </w:tc>
        <w:tc>
          <w:tcPr>
            <w:tcW w:type="dxa" w:w="3400"/>
            <w:tcBorders>
              <w:top w:val="single" w:color="C9D6CE" w:sz="2"/>
              <w:left w:val="single" w:color="C9D6CE" w:sz="2"/>
              <w:bottom w:val="single" w:color="C9D6CE" w:sz="2"/>
              <w:right w:val="single" w:color="C9D6CE" w:sz="2"/>
            </w:tcBorders>
            <w:shd w:fill="E8EFEA" w:color="auto" w:val="clear"/>
            <w:tcMar>
              <w:top w:type="dxa" w:w="50"/>
              <w:left w:type="dxa" w:w="100"/>
              <w:bottom w:type="dxa" w:w="50"/>
              <w:right w:type="dxa" w:w="100"/>
            </w:tcMar>
          </w:tcPr>
          <w:p>
            <w:r>
              <w:rPr>
                <w:sz w:val="19"/>
                <w:szCs w:val="19"/>
              </w:rPr>
              <w:t xml:space="preserve">Intégration — travail courant</w:t>
            </w:r>
          </w:p>
        </w:tc>
        <w:tc>
          <w:tcPr>
            <w:tcW w:type="dxa" w:w="3026"/>
            <w:tcBorders>
              <w:top w:val="single" w:color="C9D6CE" w:sz="2"/>
              <w:left w:val="single" w:color="C9D6CE" w:sz="2"/>
              <w:bottom w:val="single" w:color="C9D6CE" w:sz="2"/>
              <w:right w:val="single" w:color="C9D6CE" w:sz="2"/>
            </w:tcBorders>
            <w:shd w:fill="E8EFEA" w:color="auto" w:val="clear"/>
            <w:tcMar>
              <w:top w:type="dxa" w:w="50"/>
              <w:left w:type="dxa" w:w="100"/>
              <w:bottom w:type="dxa" w:w="50"/>
              <w:right w:type="dxa" w:w="100"/>
            </w:tcMar>
          </w:tcPr>
          <w:p>
            <w:r>
              <w:rPr>
                <w:sz w:val="19"/>
                <w:szCs w:val="19"/>
              </w:rPr>
              <w:t xml:space="preserve">CI à chaque push</w:t>
            </w:r>
          </w:p>
        </w:tc>
      </w:tr>
      <w:tr>
        <w:tc>
          <w:tcPr>
            <w:tcW w:type="dxa" w:w="2600"/>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feature/** · fix/** · hotfix/**</w:t>
            </w:r>
          </w:p>
        </w:tc>
        <w:tc>
          <w:tcPr>
            <w:tcW w:type="dxa" w:w="3400"/>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Travail ponctuel</w:t>
            </w:r>
          </w:p>
        </w:tc>
        <w:tc>
          <w:tcPr>
            <w:tcW w:type="dxa" w:w="3026"/>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CI à chaque push</w:t>
            </w:r>
          </w:p>
        </w:tc>
      </w:tr>
    </w:tbl>
    <w:p>
      <w:pPr>
        <w:spacing w:after="120" w:line="276"/>
      </w:pPr>
      <w:r>
        <w:rPr>
          <w:b/>
          <w:bCs/>
          <w:sz w:val="21"/>
          <w:szCs w:val="21"/>
        </w:rPr>
        <w:t xml:space="preserve">Convention de commits. </w:t>
      </w:r>
      <w:r>
        <w:rPr>
          <w:sz w:val="21"/>
          <w:szCs w:val="21"/>
        </w:rPr>
        <w:t xml:space="preserve">Conventional Commits : </w:t>
      </w:r>
      <w:r>
        <w:rPr>
          <w:rFonts w:ascii="Consolas" w:cs="Consolas" w:eastAsia="Consolas" w:hAnsi="Consolas"/>
          <w:color w:val="2C5F4A"/>
          <w:sz w:val="19"/>
          <w:szCs w:val="19"/>
        </w:rPr>
        <w:t xml:space="preserve">feat:</w:t>
      </w:r>
      <w:r>
        <w:rPr>
          <w:sz w:val="21"/>
          <w:szCs w:val="21"/>
        </w:rPr>
        <w:t xml:space="preserve">, </w:t>
      </w:r>
      <w:r>
        <w:rPr>
          <w:rFonts w:ascii="Consolas" w:cs="Consolas" w:eastAsia="Consolas" w:hAnsi="Consolas"/>
          <w:color w:val="2C5F4A"/>
          <w:sz w:val="19"/>
          <w:szCs w:val="19"/>
        </w:rPr>
        <w:t xml:space="preserve">fix:</w:t>
      </w:r>
      <w:r>
        <w:rPr>
          <w:sz w:val="21"/>
          <w:szCs w:val="21"/>
        </w:rPr>
        <w:t xml:space="preserve">, </w:t>
      </w:r>
      <w:r>
        <w:rPr>
          <w:rFonts w:ascii="Consolas" w:cs="Consolas" w:eastAsia="Consolas" w:hAnsi="Consolas"/>
          <w:color w:val="2C5F4A"/>
          <w:sz w:val="19"/>
          <w:szCs w:val="19"/>
        </w:rPr>
        <w:t xml:space="preserve">chore:</w:t>
      </w:r>
      <w:r>
        <w:rPr>
          <w:sz w:val="21"/>
          <w:szCs w:val="21"/>
        </w:rPr>
        <w:t xml:space="preserve">, </w:t>
      </w:r>
      <w:r>
        <w:rPr>
          <w:rFonts w:ascii="Consolas" w:cs="Consolas" w:eastAsia="Consolas" w:hAnsi="Consolas"/>
          <w:color w:val="2C5F4A"/>
          <w:sz w:val="19"/>
          <w:szCs w:val="19"/>
        </w:rPr>
        <w:t xml:space="preserve">ci:</w:t>
      </w:r>
      <w:r>
        <w:rPr>
          <w:sz w:val="21"/>
          <w:szCs w:val="21"/>
        </w:rPr>
        <w:t xml:space="preserve">, </w:t>
      </w:r>
      <w:r>
        <w:rPr>
          <w:rFonts w:ascii="Consolas" w:cs="Consolas" w:eastAsia="Consolas" w:hAnsi="Consolas"/>
          <w:color w:val="2C5F4A"/>
          <w:sz w:val="19"/>
          <w:szCs w:val="19"/>
        </w:rPr>
        <w:t xml:space="preserve">docs:</w:t>
      </w:r>
      <w:r>
        <w:rPr>
          <w:sz w:val="21"/>
          <w:szCs w:val="21"/>
        </w:rPr>
        <w:t xml:space="preserve">. Les tags de version suivent le SemVer (</w:t>
      </w:r>
      <w:r>
        <w:rPr>
          <w:rFonts w:ascii="Consolas" w:cs="Consolas" w:eastAsia="Consolas" w:hAnsi="Consolas"/>
          <w:color w:val="2C5F4A"/>
          <w:sz w:val="19"/>
          <w:szCs w:val="19"/>
        </w:rPr>
        <w:t xml:space="preserve">v1.0.0</w:t>
      </w:r>
      <w:r>
        <w:rPr>
          <w:sz w:val="21"/>
          <w:szCs w:val="21"/>
        </w:rPr>
        <w:t xml:space="preserve">).</w:t>
      </w:r>
    </w:p>
    <w:p>
      <w:pPr>
        <w:spacing w:after="120" w:line="276"/>
      </w:pPr>
      <w:r>
        <w:rPr>
          <w:b/>
          <w:bCs/>
          <w:sz w:val="21"/>
          <w:szCs w:val="21"/>
        </w:rPr>
        <w:t xml:space="preserve">Protection de main. </w:t>
      </w:r>
      <w:r>
        <w:rPr>
          <w:sz w:val="21"/>
          <w:szCs w:val="21"/>
        </w:rPr>
        <w:t xml:space="preserve">Chaque dépôt applique un ruleset GitHub : pull request obligatoire, interdiction de force-push et de suppression, et checks de statut requis (build/tests + scans de sécurité) avant tout merge.</w:t>
      </w:r>
    </w:p>
    <w:p>
      <w:pPr>
        <w:spacing w:after="120" w:line="276"/>
      </w:pPr>
      <w:r>
        <w:rPr>
          <w:b/>
          <w:bCs/>
          <w:sz w:val="21"/>
          <w:szCs w:val="21"/>
        </w:rPr>
        <w:t xml:space="preserve">Versionnement et releases. </w:t>
      </w:r>
      <w:r>
        <w:rPr>
          <w:sz w:val="21"/>
          <w:szCs w:val="21"/>
        </w:rPr>
        <w:t xml:space="preserve">Chaque livraison sur </w:t>
      </w:r>
      <w:r>
        <w:rPr>
          <w:rFonts w:ascii="Consolas" w:cs="Consolas" w:eastAsia="Consolas" w:hAnsi="Consolas"/>
          <w:color w:val="2C5F4A"/>
          <w:sz w:val="19"/>
          <w:szCs w:val="19"/>
        </w:rPr>
        <w:t xml:space="preserve">main</w:t>
      </w:r>
      <w:r>
        <w:rPr>
          <w:sz w:val="21"/>
          <w:szCs w:val="21"/>
        </w:rPr>
        <w:t xml:space="preserve"> est taguée en SemVer (</w:t>
      </w:r>
      <w:r>
        <w:rPr>
          <w:rFonts w:ascii="Consolas" w:cs="Consolas" w:eastAsia="Consolas" w:hAnsi="Consolas"/>
          <w:color w:val="2C5F4A"/>
          <w:sz w:val="19"/>
          <w:szCs w:val="19"/>
        </w:rPr>
        <w:t xml:space="preserve">git tag -a vX.Y.Z</w:t>
      </w:r>
      <w:r>
        <w:rPr>
          <w:sz w:val="21"/>
          <w:szCs w:val="21"/>
        </w:rPr>
        <w:t xml:space="preserve">). Le tag </w:t>
      </w:r>
      <w:r>
        <w:rPr>
          <w:rFonts w:ascii="Consolas" w:cs="Consolas" w:eastAsia="Consolas" w:hAnsi="Consolas"/>
          <w:color w:val="2C5F4A"/>
          <w:sz w:val="19"/>
          <w:szCs w:val="19"/>
        </w:rPr>
        <w:t xml:space="preserve">v1.0.0</w:t>
      </w:r>
      <w:r>
        <w:rPr>
          <w:sz w:val="21"/>
          <w:szCs w:val="21"/>
        </w:rPr>
        <w:t xml:space="preserve"> a été créé et poussé ; la CI se déclenche également sur les tags </w:t>
      </w:r>
      <w:r>
        <w:rPr>
          <w:rFonts w:ascii="Consolas" w:cs="Consolas" w:eastAsia="Consolas" w:hAnsi="Consolas"/>
          <w:color w:val="2C5F4A"/>
          <w:sz w:val="19"/>
          <w:szCs w:val="19"/>
        </w:rPr>
        <w:t xml:space="preserve">v*.*.*</w:t>
      </w:r>
      <w:r>
        <w:rPr>
          <w:sz w:val="21"/>
          <w:szCs w:val="21"/>
        </w:rPr>
        <w:t xml:space="preserve">. </w:t>
      </w:r>
      <w:r>
        <w:rPr>
          <w:b/>
          <w:bCs/>
          <w:sz w:val="21"/>
          <w:szCs w:val="21"/>
        </w:rPr>
        <w:t xml:space="preserve">Écart identifié : </w:t>
      </w:r>
      <w:r>
        <w:rPr>
          <w:sz w:val="21"/>
          <w:szCs w:val="21"/>
        </w:rPr>
        <w:t xml:space="preserve">la création automatique d'une GitHub Release à chaque tag (notes de version, artefacts attachés) n'est pas encore en place — à ajouter via un workflow déclenché sur </w:t>
      </w:r>
      <w:r>
        <w:rPr>
          <w:rFonts w:ascii="Consolas" w:cs="Consolas" w:eastAsia="Consolas" w:hAnsi="Consolas"/>
          <w:color w:val="2C5F4A"/>
          <w:sz w:val="19"/>
          <w:szCs w:val="19"/>
        </w:rPr>
        <w:t xml:space="preserve">push: tags</w:t>
      </w:r>
      <w:r>
        <w:rPr>
          <w:sz w:val="21"/>
          <w:szCs w:val="21"/>
        </w:rPr>
        <w:t xml:space="preserve">.</w:t>
      </w:r>
    </w:p>
    <w:p>
      <w:pPr>
        <w:pStyle w:val="Heading1"/>
        <w:spacing w:after="160" w:before="320"/>
      </w:pPr>
      <w:r>
        <w:rPr>
          <w:b/>
          <w:bCs/>
          <w:color w:val="2C5F4A"/>
          <w:sz w:val="30"/>
          <w:szCs w:val="30"/>
        </w:rPr>
        <w:t xml:space="preserve">3. Intégration continue (CI)</w:t>
      </w:r>
    </w:p>
    <w:p>
      <w:pPr>
        <w:spacing w:after="120" w:line="276"/>
      </w:pPr>
      <w:r>
        <w:rPr>
          <w:sz w:val="21"/>
          <w:szCs w:val="21"/>
        </w:rPr>
        <w:t xml:space="preserve">Chaque dépôt possède son pipeline CI, déclenché sur push et pull request. Trois workflows distincts par dépôt : CI fonctionnelle, sécurité, déploiement.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626"/>
        <w:gridCol w:w="2200"/>
      </w:tblGrid>
      <w:tr>
        <w:trPr>
          <w:tblHeader/>
        </w:trPr>
        <w:tc>
          <w:tcPr>
            <w:tcW w:type="dxa" w:w="2200"/>
            <w:tcBorders>
              <w:top w:val="single" w:color="C9D6CE" w:sz="2"/>
              <w:left w:val="single" w:color="C9D6CE" w:sz="2"/>
              <w:bottom w:val="single" w:color="C9D6CE" w:sz="2"/>
              <w:right w:val="single" w:color="C9D6CE" w:sz="2"/>
            </w:tcBorders>
            <w:shd w:fill="4B6B59" w:color="auto" w:val="clear"/>
            <w:tcMar>
              <w:top w:type="dxa" w:w="60"/>
              <w:left w:type="dxa" w:w="100"/>
              <w:bottom w:type="dxa" w:w="60"/>
              <w:right w:type="dxa" w:w="100"/>
            </w:tcMar>
          </w:tcPr>
          <w:p>
            <w:r>
              <w:rPr>
                <w:b/>
                <w:bCs/>
                <w:color w:val="FFFFFF"/>
                <w:sz w:val="19"/>
                <w:szCs w:val="19"/>
              </w:rPr>
              <w:t xml:space="preserve">Application</w:t>
            </w:r>
          </w:p>
        </w:tc>
        <w:tc>
          <w:tcPr>
            <w:tcW w:type="dxa" w:w="4626"/>
            <w:tcBorders>
              <w:top w:val="single" w:color="C9D6CE" w:sz="2"/>
              <w:left w:val="single" w:color="C9D6CE" w:sz="2"/>
              <w:bottom w:val="single" w:color="C9D6CE" w:sz="2"/>
              <w:right w:val="single" w:color="C9D6CE" w:sz="2"/>
            </w:tcBorders>
            <w:shd w:fill="4B6B59" w:color="auto" w:val="clear"/>
            <w:tcMar>
              <w:top w:type="dxa" w:w="60"/>
              <w:left w:type="dxa" w:w="100"/>
              <w:bottom w:type="dxa" w:w="60"/>
              <w:right w:type="dxa" w:w="100"/>
            </w:tcMar>
          </w:tcPr>
          <w:p>
            <w:r>
              <w:rPr>
                <w:b/>
                <w:bCs/>
                <w:color w:val="FFFFFF"/>
                <w:sz w:val="19"/>
                <w:szCs w:val="19"/>
              </w:rPr>
              <w:t xml:space="preserve">Étapes CI</w:t>
            </w:r>
          </w:p>
        </w:tc>
        <w:tc>
          <w:tcPr>
            <w:tcW w:type="dxa" w:w="2200"/>
            <w:tcBorders>
              <w:top w:val="single" w:color="C9D6CE" w:sz="2"/>
              <w:left w:val="single" w:color="C9D6CE" w:sz="2"/>
              <w:bottom w:val="single" w:color="C9D6CE" w:sz="2"/>
              <w:right w:val="single" w:color="C9D6CE" w:sz="2"/>
            </w:tcBorders>
            <w:shd w:fill="4B6B59" w:color="auto" w:val="clear"/>
            <w:tcMar>
              <w:top w:type="dxa" w:w="60"/>
              <w:left w:type="dxa" w:w="100"/>
              <w:bottom w:type="dxa" w:w="60"/>
              <w:right w:type="dxa" w:w="100"/>
            </w:tcMar>
          </w:tcPr>
          <w:p>
            <w:r>
              <w:rPr>
                <w:b/>
                <w:bCs/>
                <w:color w:val="FFFFFF"/>
                <w:sz w:val="19"/>
                <w:szCs w:val="19"/>
              </w:rPr>
              <w:t xml:space="preserve">Artefact</w:t>
            </w:r>
          </w:p>
        </w:tc>
      </w:tr>
      <w:tr>
        <w:tc>
          <w:tcPr>
            <w:tcW w:type="dxa" w:w="2200"/>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API (Maven)</w:t>
            </w:r>
          </w:p>
        </w:tc>
        <w:tc>
          <w:tcPr>
            <w:tcW w:type="dxa" w:w="4626"/>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mvn clean verify · JaCoCo · SonarCloud · service MySQL</w:t>
            </w:r>
          </w:p>
        </w:tc>
        <w:tc>
          <w:tcPr>
            <w:tcW w:type="dxa" w:w="2200"/>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JAR + rapports de tests</w:t>
            </w:r>
          </w:p>
        </w:tc>
      </w:tr>
      <w:tr>
        <w:tc>
          <w:tcPr>
            <w:tcW w:type="dxa" w:w="2200"/>
            <w:tcBorders>
              <w:top w:val="single" w:color="C9D6CE" w:sz="2"/>
              <w:left w:val="single" w:color="C9D6CE" w:sz="2"/>
              <w:bottom w:val="single" w:color="C9D6CE" w:sz="2"/>
              <w:right w:val="single" w:color="C9D6CE" w:sz="2"/>
            </w:tcBorders>
            <w:shd w:fill="E8EFEA" w:color="auto" w:val="clear"/>
            <w:tcMar>
              <w:top w:type="dxa" w:w="50"/>
              <w:left w:type="dxa" w:w="100"/>
              <w:bottom w:type="dxa" w:w="50"/>
              <w:right w:type="dxa" w:w="100"/>
            </w:tcMar>
          </w:tcPr>
          <w:p>
            <w:r>
              <w:rPr>
                <w:sz w:val="19"/>
                <w:szCs w:val="19"/>
              </w:rPr>
              <w:t xml:space="preserve">Web (pnpm)</w:t>
            </w:r>
          </w:p>
        </w:tc>
        <w:tc>
          <w:tcPr>
            <w:tcW w:type="dxa" w:w="4626"/>
            <w:tcBorders>
              <w:top w:val="single" w:color="C9D6CE" w:sz="2"/>
              <w:left w:val="single" w:color="C9D6CE" w:sz="2"/>
              <w:bottom w:val="single" w:color="C9D6CE" w:sz="2"/>
              <w:right w:val="single" w:color="C9D6CE" w:sz="2"/>
            </w:tcBorders>
            <w:shd w:fill="E8EFEA" w:color="auto" w:val="clear"/>
            <w:tcMar>
              <w:top w:type="dxa" w:w="50"/>
              <w:left w:type="dxa" w:w="100"/>
              <w:bottom w:type="dxa" w:w="50"/>
              <w:right w:type="dxa" w:w="100"/>
            </w:tcMar>
          </w:tcPr>
          <w:p>
            <w:r>
              <w:rPr>
                <w:sz w:val="19"/>
                <w:szCs w:val="19"/>
              </w:rPr>
              <w:t xml:space="preserve">install --frozen-lockfile · lint · build Next.js</w:t>
            </w:r>
          </w:p>
        </w:tc>
        <w:tc>
          <w:tcPr>
            <w:tcW w:type="dxa" w:w="2200"/>
            <w:tcBorders>
              <w:top w:val="single" w:color="C9D6CE" w:sz="2"/>
              <w:left w:val="single" w:color="C9D6CE" w:sz="2"/>
              <w:bottom w:val="single" w:color="C9D6CE" w:sz="2"/>
              <w:right w:val="single" w:color="C9D6CE" w:sz="2"/>
            </w:tcBorders>
            <w:shd w:fill="E8EFEA" w:color="auto" w:val="clear"/>
            <w:tcMar>
              <w:top w:type="dxa" w:w="50"/>
              <w:left w:type="dxa" w:w="100"/>
              <w:bottom w:type="dxa" w:w="50"/>
              <w:right w:type="dxa" w:w="100"/>
            </w:tcMar>
          </w:tcPr>
          <w:p>
            <w:r>
              <w:rPr>
                <w:sz w:val="19"/>
                <w:szCs w:val="19"/>
              </w:rPr>
              <w:t xml:space="preserve">build de production</w:t>
            </w:r>
          </w:p>
        </w:tc>
      </w:tr>
      <w:tr>
        <w:tc>
          <w:tcPr>
            <w:tcW w:type="dxa" w:w="2200"/>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Mobile (Flutter)</w:t>
            </w:r>
          </w:p>
        </w:tc>
        <w:tc>
          <w:tcPr>
            <w:tcW w:type="dxa" w:w="4626"/>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flutter analyze · flutter test · build APK release</w:t>
            </w:r>
          </w:p>
        </w:tc>
        <w:tc>
          <w:tcPr>
            <w:tcW w:type="dxa" w:w="2200"/>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APK signé (clé debug)</w:t>
            </w:r>
          </w:p>
        </w:tc>
      </w:tr>
    </w:tbl>
    <w:p>
      <w:pPr>
        <w:spacing w:after="120" w:line="276"/>
      </w:pPr>
      <w:r>
        <w:rPr>
          <w:b/>
          <w:bCs/>
          <w:sz w:val="21"/>
          <w:szCs w:val="21"/>
        </w:rPr>
        <w:t xml:space="preserve">Séparation sécurité / CI. </w:t>
      </w:r>
      <w:r>
        <w:rPr>
          <w:sz w:val="21"/>
          <w:szCs w:val="21"/>
        </w:rPr>
        <w:t xml:space="preserve">Les scans (Trivy, Gitleaks, OWASP Dependency Check) sont isolés dans un workflow </w:t>
      </w:r>
      <w:r>
        <w:rPr>
          <w:rFonts w:ascii="Consolas" w:cs="Consolas" w:eastAsia="Consolas" w:hAnsi="Consolas"/>
          <w:color w:val="2C5F4A"/>
          <w:sz w:val="19"/>
          <w:szCs w:val="19"/>
        </w:rPr>
        <w:t xml:space="preserve">security-*.yml</w:t>
      </w:r>
      <w:r>
        <w:rPr>
          <w:sz w:val="21"/>
          <w:szCs w:val="21"/>
        </w:rPr>
        <w:t xml:space="preserve"> dédié, afin qu'un scan lent ou une base de données CVE indisponible ne bloque jamais la CI fonctionnelle.</w:t>
      </w:r>
    </w:p>
    <w:p>
      <w:pPr>
        <w:pageBreakBefore/>
      </w:pPr>
    </w:p>
    <w:p>
      <w:pPr>
        <w:pStyle w:val="Heading1"/>
        <w:spacing w:after="160" w:before="320"/>
      </w:pPr>
      <w:r>
        <w:rPr>
          <w:b/>
          <w:bCs/>
          <w:color w:val="2C5F4A"/>
          <w:sz w:val="30"/>
          <w:szCs w:val="30"/>
        </w:rPr>
        <w:t xml:space="preserve">4. Déploiement continu (CD)</w:t>
      </w:r>
    </w:p>
    <w:p>
      <w:pPr>
        <w:pStyle w:val="Heading2"/>
        <w:spacing w:after="120" w:before="220"/>
      </w:pPr>
      <w:r>
        <w:rPr>
          <w:b/>
          <w:bCs/>
          <w:color w:val="4B6B59"/>
          <w:sz w:val="24"/>
          <w:szCs w:val="24"/>
        </w:rPr>
        <w:t xml:space="preserve">4.1 API — conteneur Docker sur GHCR</w:t>
      </w:r>
    </w:p>
    <w:p>
      <w:pPr>
        <w:spacing w:after="120" w:line="276"/>
      </w:pPr>
      <w:r>
        <w:rPr>
          <w:sz w:val="21"/>
          <w:szCs w:val="21"/>
        </w:rPr>
        <w:t xml:space="preserve">Image Docker multi-stage (Alpine, utilisateur non-root) construite et poussée sur le </w:t>
      </w:r>
      <w:r>
        <w:rPr>
          <w:b/>
          <w:bCs/>
          <w:sz w:val="21"/>
          <w:szCs w:val="21"/>
        </w:rPr>
        <w:t xml:space="preserve">GitHub Container Registry</w:t>
      </w:r>
      <w:r>
        <w:rPr>
          <w:sz w:val="21"/>
          <w:szCs w:val="21"/>
        </w:rPr>
        <w:t xml:space="preserve"> après une CI verte sur </w:t>
      </w:r>
      <w:r>
        <w:rPr>
          <w:rFonts w:ascii="Consolas" w:cs="Consolas" w:eastAsia="Consolas" w:hAnsi="Consolas"/>
          <w:color w:val="2C5F4A"/>
          <w:sz w:val="19"/>
          <w:szCs w:val="19"/>
        </w:rPr>
        <w:t xml:space="preserve">main</w:t>
      </w:r>
      <w:r>
        <w:rPr>
          <w:sz w:val="21"/>
          <w:szCs w:val="21"/>
        </w:rPr>
        <w:t xml:space="preserve">. Le job de déploiement SSH est </w:t>
      </w:r>
      <w:r>
        <w:rPr>
          <w:b/>
          <w:bCs/>
          <w:sz w:val="21"/>
          <w:szCs w:val="21"/>
        </w:rPr>
        <w:t xml:space="preserve">gated</w:t>
      </w:r>
      <w:r>
        <w:rPr>
          <w:sz w:val="21"/>
          <w:szCs w:val="21"/>
        </w:rPr>
        <w:t xml:space="preserve"> par la variable </w:t>
      </w:r>
      <w:r>
        <w:rPr>
          <w:rFonts w:ascii="Consolas" w:cs="Consolas" w:eastAsia="Consolas" w:hAnsi="Consolas"/>
          <w:color w:val="2C5F4A"/>
          <w:sz w:val="19"/>
          <w:szCs w:val="19"/>
        </w:rPr>
        <w:t xml:space="preserve">PROD_ENABLED</w:t>
      </w:r>
      <w:r>
        <w:rPr>
          <w:sz w:val="21"/>
          <w:szCs w:val="21"/>
        </w:rPr>
        <w:t xml:space="preserve"> : il ne s'exécute que lorsqu'un serveur cible est disponible. En l'absence de VPS, la CD existe, reste non bloquante, et ne se déclenche pas — l'image est néanmoins prête à déployer.</w:t>
      </w:r>
    </w:p>
    <w:p>
      <w:pPr>
        <w:pStyle w:val="Heading2"/>
        <w:spacing w:after="120" w:before="220"/>
      </w:pPr>
      <w:r>
        <w:rPr>
          <w:b/>
          <w:bCs/>
          <w:color w:val="4B6B59"/>
          <w:sz w:val="24"/>
          <w:szCs w:val="24"/>
        </w:rPr>
        <w:t xml:space="preserve">4.2 Front — Vercel</w:t>
      </w:r>
    </w:p>
    <w:p>
      <w:pPr>
        <w:spacing w:after="120" w:line="276"/>
      </w:pPr>
      <w:r>
        <w:rPr>
          <w:sz w:val="21"/>
          <w:szCs w:val="21"/>
        </w:rPr>
        <w:t xml:space="preserve">Le déploiement est assuré par l'</w:t>
      </w:r>
      <w:r>
        <w:rPr>
          <w:b/>
          <w:bCs/>
          <w:sz w:val="21"/>
          <w:szCs w:val="21"/>
        </w:rPr>
        <w:t xml:space="preserve">intégration Git native de Vercel</w:t>
      </w:r>
      <w:r>
        <w:rPr>
          <w:sz w:val="21"/>
          <w:szCs w:val="21"/>
        </w:rPr>
        <w:t xml:space="preserve"> : chaque push sur </w:t>
      </w:r>
      <w:r>
        <w:rPr>
          <w:rFonts w:ascii="Consolas" w:cs="Consolas" w:eastAsia="Consolas" w:hAnsi="Consolas"/>
          <w:color w:val="2C5F4A"/>
          <w:sz w:val="19"/>
          <w:szCs w:val="19"/>
        </w:rPr>
        <w:t xml:space="preserve">main</w:t>
      </w:r>
      <w:r>
        <w:rPr>
          <w:sz w:val="21"/>
          <w:szCs w:val="21"/>
        </w:rPr>
        <w:t xml:space="preserve"> est build et mis en production automatiquement. Un workflow GitHub Actions </w:t>
      </w:r>
      <w:r>
        <w:rPr>
          <w:rFonts w:ascii="Consolas" w:cs="Consolas" w:eastAsia="Consolas" w:hAnsi="Consolas"/>
          <w:color w:val="2C5F4A"/>
          <w:sz w:val="19"/>
          <w:szCs w:val="19"/>
        </w:rPr>
        <w:t xml:space="preserve">deploy-web.yml</w:t>
      </w:r>
      <w:r>
        <w:rPr>
          <w:sz w:val="21"/>
          <w:szCs w:val="21"/>
        </w:rPr>
        <w:t xml:space="preserve"> fournit en complément un </w:t>
      </w:r>
      <w:r>
        <w:rPr>
          <w:b/>
          <w:bCs/>
          <w:sz w:val="21"/>
          <w:szCs w:val="21"/>
        </w:rPr>
        <w:t xml:space="preserve">redéploiement manuel de secours</w:t>
      </w:r>
      <w:r>
        <w:rPr>
          <w:sz w:val="21"/>
          <w:szCs w:val="21"/>
        </w:rPr>
        <w:t xml:space="preserve"> (déclenchement explicite + confirmation « PROD »), indépendant du tableau de bord Vercel — utile en cas d'incident.</w:t>
      </w:r>
    </w:p>
    <w:p>
      <w:pPr>
        <w:pStyle w:val="Heading2"/>
        <w:spacing w:after="120" w:before="220"/>
      </w:pPr>
      <w:r>
        <w:rPr>
          <w:b/>
          <w:bCs/>
          <w:color w:val="4B6B59"/>
          <w:sz w:val="24"/>
          <w:szCs w:val="24"/>
        </w:rPr>
        <w:t xml:space="preserve">4.3 Mobile — artefact APK</w:t>
      </w:r>
    </w:p>
    <w:p>
      <w:pPr>
        <w:spacing w:after="120" w:line="276"/>
      </w:pPr>
      <w:r>
        <w:rPr>
          <w:sz w:val="21"/>
          <w:szCs w:val="21"/>
        </w:rPr>
        <w:t xml:space="preserve">La CI produit un </w:t>
      </w:r>
      <w:r>
        <w:rPr>
          <w:b/>
          <w:bCs/>
          <w:sz w:val="21"/>
          <w:szCs w:val="21"/>
        </w:rPr>
        <w:t xml:space="preserve">APK release</w:t>
      </w:r>
      <w:r>
        <w:rPr>
          <w:sz w:val="21"/>
          <w:szCs w:val="21"/>
        </w:rPr>
        <w:t xml:space="preserve"> signé avec la clé debug, publié comme artefact GitHub (rétention 7 jours). La publication sur les stores (Play Store / App Store) n'est pas automatisée dans le périmètre du projet ; l'APK constitue le livrable de déploiement.</w:t>
      </w:r>
    </w:p>
    <w:p>
      <w:pPr>
        <w:pStyle w:val="Heading1"/>
        <w:spacing w:after="160" w:before="320"/>
      </w:pPr>
      <w:r>
        <w:rPr>
          <w:b/>
          <w:bCs/>
          <w:color w:val="2C5F4A"/>
          <w:sz w:val="30"/>
          <w:szCs w:val="30"/>
        </w:rPr>
        <w:t xml:space="preserve">5. Environnements</w:t>
      </w:r>
    </w:p>
    <w:p>
      <w:pPr>
        <w:spacing w:after="120" w:line="276"/>
      </w:pPr>
      <w:r>
        <w:rPr>
          <w:sz w:val="21"/>
          <w:szCs w:val="21"/>
        </w:rPr>
        <w:t xml:space="preserve">Deux environnements sont mis en œuvre : développement (local) et production. Un environnement de recette (staging) est conçu mais non déployé, faute d'infrastructure d'hébergement.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000"/>
        <w:gridCol w:w="2626"/>
      </w:tblGrid>
      <w:tr>
        <w:trPr>
          <w:tblHeader/>
        </w:trPr>
        <w:tc>
          <w:tcPr>
            <w:tcW w:type="dxa" w:w="1900"/>
            <w:tcBorders>
              <w:top w:val="single" w:color="C9D6CE" w:sz="2"/>
              <w:left w:val="single" w:color="C9D6CE" w:sz="2"/>
              <w:bottom w:val="single" w:color="C9D6CE" w:sz="2"/>
              <w:right w:val="single" w:color="C9D6CE" w:sz="2"/>
            </w:tcBorders>
            <w:shd w:fill="4B6B59" w:color="auto" w:val="clear"/>
            <w:tcMar>
              <w:top w:type="dxa" w:w="60"/>
              <w:left w:type="dxa" w:w="100"/>
              <w:bottom w:type="dxa" w:w="60"/>
              <w:right w:type="dxa" w:w="100"/>
            </w:tcMar>
          </w:tcPr>
          <w:p>
            <w:r>
              <w:rPr>
                <w:b/>
                <w:bCs/>
                <w:color w:val="FFFFFF"/>
                <w:sz w:val="19"/>
                <w:szCs w:val="19"/>
              </w:rPr>
              <w:t xml:space="preserve">Paramètre</w:t>
            </w:r>
          </w:p>
        </w:tc>
        <w:tc>
          <w:tcPr>
            <w:tcW w:type="dxa" w:w="2500"/>
            <w:tcBorders>
              <w:top w:val="single" w:color="C9D6CE" w:sz="2"/>
              <w:left w:val="single" w:color="C9D6CE" w:sz="2"/>
              <w:bottom w:val="single" w:color="C9D6CE" w:sz="2"/>
              <w:right w:val="single" w:color="C9D6CE" w:sz="2"/>
            </w:tcBorders>
            <w:shd w:fill="4B6B59" w:color="auto" w:val="clear"/>
            <w:tcMar>
              <w:top w:type="dxa" w:w="60"/>
              <w:left w:type="dxa" w:w="100"/>
              <w:bottom w:type="dxa" w:w="60"/>
              <w:right w:type="dxa" w:w="100"/>
            </w:tcMar>
          </w:tcPr>
          <w:p>
            <w:r>
              <w:rPr>
                <w:b/>
                <w:bCs/>
                <w:color w:val="FFFFFF"/>
                <w:sz w:val="19"/>
                <w:szCs w:val="19"/>
              </w:rPr>
              <w:t xml:space="preserve">Développement</w:t>
            </w:r>
          </w:p>
        </w:tc>
        <w:tc>
          <w:tcPr>
            <w:tcW w:type="dxa" w:w="2000"/>
            <w:tcBorders>
              <w:top w:val="single" w:color="C9D6CE" w:sz="2"/>
              <w:left w:val="single" w:color="C9D6CE" w:sz="2"/>
              <w:bottom w:val="single" w:color="C9D6CE" w:sz="2"/>
              <w:right w:val="single" w:color="C9D6CE" w:sz="2"/>
            </w:tcBorders>
            <w:shd w:fill="4B6B59" w:color="auto" w:val="clear"/>
            <w:tcMar>
              <w:top w:type="dxa" w:w="60"/>
              <w:left w:type="dxa" w:w="100"/>
              <w:bottom w:type="dxa" w:w="60"/>
              <w:right w:type="dxa" w:w="100"/>
            </w:tcMar>
          </w:tcPr>
          <w:p>
            <w:r>
              <w:rPr>
                <w:b/>
                <w:bCs/>
                <w:color w:val="FFFFFF"/>
                <w:sz w:val="19"/>
                <w:szCs w:val="19"/>
              </w:rPr>
              <w:t xml:space="preserve">Staging (conçu)</w:t>
            </w:r>
          </w:p>
        </w:tc>
        <w:tc>
          <w:tcPr>
            <w:tcW w:type="dxa" w:w="2626"/>
            <w:tcBorders>
              <w:top w:val="single" w:color="C9D6CE" w:sz="2"/>
              <w:left w:val="single" w:color="C9D6CE" w:sz="2"/>
              <w:bottom w:val="single" w:color="C9D6CE" w:sz="2"/>
              <w:right w:val="single" w:color="C9D6CE" w:sz="2"/>
            </w:tcBorders>
            <w:shd w:fill="4B6B59" w:color="auto" w:val="clear"/>
            <w:tcMar>
              <w:top w:type="dxa" w:w="60"/>
              <w:left w:type="dxa" w:w="100"/>
              <w:bottom w:type="dxa" w:w="60"/>
              <w:right w:type="dxa" w:w="100"/>
            </w:tcMar>
          </w:tcPr>
          <w:p>
            <w:r>
              <w:rPr>
                <w:b/>
                <w:bCs/>
                <w:color w:val="FFFFFF"/>
                <w:sz w:val="19"/>
                <w:szCs w:val="19"/>
              </w:rPr>
              <w:t xml:space="preserve">Production</w:t>
            </w:r>
          </w:p>
        </w:tc>
      </w:tr>
      <w:tr>
        <w:tc>
          <w:tcPr>
            <w:tcW w:type="dxa" w:w="1900"/>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Déclenchement</w:t>
            </w:r>
          </w:p>
        </w:tc>
        <w:tc>
          <w:tcPr>
            <w:tcW w:type="dxa" w:w="2500"/>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Manuel (local)</w:t>
            </w:r>
          </w:p>
        </w:tc>
        <w:tc>
          <w:tcPr>
            <w:tcW w:type="dxa" w:w="2000"/>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Push sur develop</w:t>
            </w:r>
          </w:p>
        </w:tc>
        <w:tc>
          <w:tcPr>
            <w:tcW w:type="dxa" w:w="2626"/>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Push sur main</w:t>
            </w:r>
          </w:p>
        </w:tc>
      </w:tr>
      <w:tr>
        <w:tc>
          <w:tcPr>
            <w:tcW w:type="dxa" w:w="1900"/>
            <w:tcBorders>
              <w:top w:val="single" w:color="C9D6CE" w:sz="2"/>
              <w:left w:val="single" w:color="C9D6CE" w:sz="2"/>
              <w:bottom w:val="single" w:color="C9D6CE" w:sz="2"/>
              <w:right w:val="single" w:color="C9D6CE" w:sz="2"/>
            </w:tcBorders>
            <w:shd w:fill="E8EFEA" w:color="auto" w:val="clear"/>
            <w:tcMar>
              <w:top w:type="dxa" w:w="50"/>
              <w:left w:type="dxa" w:w="100"/>
              <w:bottom w:type="dxa" w:w="50"/>
              <w:right w:type="dxa" w:w="100"/>
            </w:tcMar>
          </w:tcPr>
          <w:p>
            <w:r>
              <w:rPr>
                <w:sz w:val="19"/>
                <w:szCs w:val="19"/>
              </w:rPr>
              <w:t xml:space="preserve">API</w:t>
            </w:r>
          </w:p>
        </w:tc>
        <w:tc>
          <w:tcPr>
            <w:tcW w:type="dxa" w:w="2500"/>
            <w:tcBorders>
              <w:top w:val="single" w:color="C9D6CE" w:sz="2"/>
              <w:left w:val="single" w:color="C9D6CE" w:sz="2"/>
              <w:bottom w:val="single" w:color="C9D6CE" w:sz="2"/>
              <w:right w:val="single" w:color="C9D6CE" w:sz="2"/>
            </w:tcBorders>
            <w:shd w:fill="E8EFEA" w:color="auto" w:val="clear"/>
            <w:tcMar>
              <w:top w:type="dxa" w:w="50"/>
              <w:left w:type="dxa" w:w="100"/>
              <w:bottom w:type="dxa" w:w="50"/>
              <w:right w:type="dxa" w:w="100"/>
            </w:tcMar>
          </w:tcPr>
          <w:p>
            <w:r>
              <w:rPr>
                <w:sz w:val="19"/>
                <w:szCs w:val="19"/>
              </w:rPr>
              <w:t xml:space="preserve">Docker local :8080</w:t>
            </w:r>
          </w:p>
        </w:tc>
        <w:tc>
          <w:tcPr>
            <w:tcW w:type="dxa" w:w="2000"/>
            <w:tcBorders>
              <w:top w:val="single" w:color="C9D6CE" w:sz="2"/>
              <w:left w:val="single" w:color="C9D6CE" w:sz="2"/>
              <w:bottom w:val="single" w:color="C9D6CE" w:sz="2"/>
              <w:right w:val="single" w:color="C9D6CE" w:sz="2"/>
            </w:tcBorders>
            <w:shd w:fill="E8EFEA" w:color="auto" w:val="clear"/>
            <w:tcMar>
              <w:top w:type="dxa" w:w="50"/>
              <w:left w:type="dxa" w:w="100"/>
              <w:bottom w:type="dxa" w:w="50"/>
              <w:right w:type="dxa" w:w="100"/>
            </w:tcMar>
          </w:tcPr>
          <w:p>
            <w:r>
              <w:rPr>
                <w:sz w:val="19"/>
                <w:szCs w:val="19"/>
              </w:rPr>
              <w:t xml:space="preserve">Instance dédiée</w:t>
            </w:r>
          </w:p>
        </w:tc>
        <w:tc>
          <w:tcPr>
            <w:tcW w:type="dxa" w:w="2626"/>
            <w:tcBorders>
              <w:top w:val="single" w:color="C9D6CE" w:sz="2"/>
              <w:left w:val="single" w:color="C9D6CE" w:sz="2"/>
              <w:bottom w:val="single" w:color="C9D6CE" w:sz="2"/>
              <w:right w:val="single" w:color="C9D6CE" w:sz="2"/>
            </w:tcBorders>
            <w:shd w:fill="E8EFEA" w:color="auto" w:val="clear"/>
            <w:tcMar>
              <w:top w:type="dxa" w:w="50"/>
              <w:left w:type="dxa" w:w="100"/>
              <w:bottom w:type="dxa" w:w="50"/>
              <w:right w:type="dxa" w:w="100"/>
            </w:tcMar>
          </w:tcPr>
          <w:p>
            <w:r>
              <w:rPr>
                <w:sz w:val="19"/>
                <w:szCs w:val="19"/>
              </w:rPr>
              <w:t xml:space="preserve">Image GHCR (gated)</w:t>
            </w:r>
          </w:p>
        </w:tc>
      </w:tr>
      <w:tr>
        <w:tc>
          <w:tcPr>
            <w:tcW w:type="dxa" w:w="1900"/>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Web</w:t>
            </w:r>
          </w:p>
        </w:tc>
        <w:tc>
          <w:tcPr>
            <w:tcW w:type="dxa" w:w="2500"/>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pnpm dev :3000</w:t>
            </w:r>
          </w:p>
        </w:tc>
        <w:tc>
          <w:tcPr>
            <w:tcW w:type="dxa" w:w="2000"/>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Preview Vercel</w:t>
            </w:r>
          </w:p>
        </w:tc>
        <w:tc>
          <w:tcPr>
            <w:tcW w:type="dxa" w:w="2626"/>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Vercel</w:t>
            </w:r>
          </w:p>
        </w:tc>
      </w:tr>
      <w:tr>
        <w:tc>
          <w:tcPr>
            <w:tcW w:type="dxa" w:w="1900"/>
            <w:tcBorders>
              <w:top w:val="single" w:color="C9D6CE" w:sz="2"/>
              <w:left w:val="single" w:color="C9D6CE" w:sz="2"/>
              <w:bottom w:val="single" w:color="C9D6CE" w:sz="2"/>
              <w:right w:val="single" w:color="C9D6CE" w:sz="2"/>
            </w:tcBorders>
            <w:shd w:fill="E8EFEA" w:color="auto" w:val="clear"/>
            <w:tcMar>
              <w:top w:type="dxa" w:w="50"/>
              <w:left w:type="dxa" w:w="100"/>
              <w:bottom w:type="dxa" w:w="50"/>
              <w:right w:type="dxa" w:w="100"/>
            </w:tcMar>
          </w:tcPr>
          <w:p>
            <w:r>
              <w:rPr>
                <w:sz w:val="19"/>
                <w:szCs w:val="19"/>
              </w:rPr>
              <w:t xml:space="preserve">Mobile</w:t>
            </w:r>
          </w:p>
        </w:tc>
        <w:tc>
          <w:tcPr>
            <w:tcW w:type="dxa" w:w="2500"/>
            <w:tcBorders>
              <w:top w:val="single" w:color="C9D6CE" w:sz="2"/>
              <w:left w:val="single" w:color="C9D6CE" w:sz="2"/>
              <w:bottom w:val="single" w:color="C9D6CE" w:sz="2"/>
              <w:right w:val="single" w:color="C9D6CE" w:sz="2"/>
            </w:tcBorders>
            <w:shd w:fill="E8EFEA" w:color="auto" w:val="clear"/>
            <w:tcMar>
              <w:top w:type="dxa" w:w="50"/>
              <w:left w:type="dxa" w:w="100"/>
              <w:bottom w:type="dxa" w:w="50"/>
              <w:right w:type="dxa" w:w="100"/>
            </w:tcMar>
          </w:tcPr>
          <w:p>
            <w:r>
              <w:rPr>
                <w:sz w:val="19"/>
                <w:szCs w:val="19"/>
              </w:rPr>
              <w:t xml:space="preserve">Émulateur 10.0.2.2:8080</w:t>
            </w:r>
          </w:p>
        </w:tc>
        <w:tc>
          <w:tcPr>
            <w:tcW w:type="dxa" w:w="2000"/>
            <w:tcBorders>
              <w:top w:val="single" w:color="C9D6CE" w:sz="2"/>
              <w:left w:val="single" w:color="C9D6CE" w:sz="2"/>
              <w:bottom w:val="single" w:color="C9D6CE" w:sz="2"/>
              <w:right w:val="single" w:color="C9D6CE" w:sz="2"/>
            </w:tcBorders>
            <w:shd w:fill="E8EFEA" w:color="auto" w:val="clear"/>
            <w:tcMar>
              <w:top w:type="dxa" w:w="50"/>
              <w:left w:type="dxa" w:w="100"/>
              <w:bottom w:type="dxa" w:w="50"/>
              <w:right w:type="dxa" w:w="100"/>
            </w:tcMar>
          </w:tcPr>
          <w:p>
            <w:r>
              <w:rPr>
                <w:sz w:val="19"/>
                <w:szCs w:val="19"/>
              </w:rPr>
              <w:t xml:space="preserve">APK de test</w:t>
            </w:r>
          </w:p>
        </w:tc>
        <w:tc>
          <w:tcPr>
            <w:tcW w:type="dxa" w:w="2626"/>
            <w:tcBorders>
              <w:top w:val="single" w:color="C9D6CE" w:sz="2"/>
              <w:left w:val="single" w:color="C9D6CE" w:sz="2"/>
              <w:bottom w:val="single" w:color="C9D6CE" w:sz="2"/>
              <w:right w:val="single" w:color="C9D6CE" w:sz="2"/>
            </w:tcBorders>
            <w:shd w:fill="E8EFEA" w:color="auto" w:val="clear"/>
            <w:tcMar>
              <w:top w:type="dxa" w:w="50"/>
              <w:left w:type="dxa" w:w="100"/>
              <w:bottom w:type="dxa" w:w="50"/>
              <w:right w:type="dxa" w:w="100"/>
            </w:tcMar>
          </w:tcPr>
          <w:p>
            <w:r>
              <w:rPr>
                <w:sz w:val="19"/>
                <w:szCs w:val="19"/>
              </w:rPr>
              <w:t xml:space="preserve">APK distribué</w:t>
            </w:r>
          </w:p>
        </w:tc>
      </w:tr>
      <w:tr>
        <w:tc>
          <w:tcPr>
            <w:tcW w:type="dxa" w:w="1900"/>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Base de données</w:t>
            </w:r>
          </w:p>
        </w:tc>
        <w:tc>
          <w:tcPr>
            <w:tcW w:type="dxa" w:w="2500"/>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MySQL Docker (cesizen_dev)</w:t>
            </w:r>
          </w:p>
        </w:tc>
        <w:tc>
          <w:tcPr>
            <w:tcW w:type="dxa" w:w="2000"/>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Base séparée</w:t>
            </w:r>
          </w:p>
        </w:tc>
        <w:tc>
          <w:tcPr>
            <w:tcW w:type="dxa" w:w="2626"/>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cesizen_prod — droits minimaux</w:t>
            </w:r>
          </w:p>
        </w:tc>
      </w:tr>
      <w:tr>
        <w:tc>
          <w:tcPr>
            <w:tcW w:type="dxa" w:w="1900"/>
            <w:tcBorders>
              <w:top w:val="single" w:color="C9D6CE" w:sz="2"/>
              <w:left w:val="single" w:color="C9D6CE" w:sz="2"/>
              <w:bottom w:val="single" w:color="C9D6CE" w:sz="2"/>
              <w:right w:val="single" w:color="C9D6CE" w:sz="2"/>
            </w:tcBorders>
            <w:shd w:fill="E8EFEA" w:color="auto" w:val="clear"/>
            <w:tcMar>
              <w:top w:type="dxa" w:w="50"/>
              <w:left w:type="dxa" w:w="100"/>
              <w:bottom w:type="dxa" w:w="50"/>
              <w:right w:type="dxa" w:w="100"/>
            </w:tcMar>
          </w:tcPr>
          <w:p>
            <w:r>
              <w:rPr>
                <w:sz w:val="19"/>
                <w:szCs w:val="19"/>
              </w:rPr>
              <w:t xml:space="preserve">Swagger</w:t>
            </w:r>
          </w:p>
        </w:tc>
        <w:tc>
          <w:tcPr>
            <w:tcW w:type="dxa" w:w="2500"/>
            <w:tcBorders>
              <w:top w:val="single" w:color="C9D6CE" w:sz="2"/>
              <w:left w:val="single" w:color="C9D6CE" w:sz="2"/>
              <w:bottom w:val="single" w:color="C9D6CE" w:sz="2"/>
              <w:right w:val="single" w:color="C9D6CE" w:sz="2"/>
            </w:tcBorders>
            <w:shd w:fill="E8EFEA" w:color="auto" w:val="clear"/>
            <w:tcMar>
              <w:top w:type="dxa" w:w="50"/>
              <w:left w:type="dxa" w:w="100"/>
              <w:bottom w:type="dxa" w:w="50"/>
              <w:right w:type="dxa" w:w="100"/>
            </w:tcMar>
          </w:tcPr>
          <w:p>
            <w:r>
              <w:rPr>
                <w:sz w:val="19"/>
                <w:szCs w:val="19"/>
              </w:rPr>
              <w:t xml:space="preserve">Activé</w:t>
            </w:r>
          </w:p>
        </w:tc>
        <w:tc>
          <w:tcPr>
            <w:tcW w:type="dxa" w:w="2000"/>
            <w:tcBorders>
              <w:top w:val="single" w:color="C9D6CE" w:sz="2"/>
              <w:left w:val="single" w:color="C9D6CE" w:sz="2"/>
              <w:bottom w:val="single" w:color="C9D6CE" w:sz="2"/>
              <w:right w:val="single" w:color="C9D6CE" w:sz="2"/>
            </w:tcBorders>
            <w:shd w:fill="E8EFEA" w:color="auto" w:val="clear"/>
            <w:tcMar>
              <w:top w:type="dxa" w:w="50"/>
              <w:left w:type="dxa" w:w="100"/>
              <w:bottom w:type="dxa" w:w="50"/>
              <w:right w:type="dxa" w:w="100"/>
            </w:tcMar>
          </w:tcPr>
          <w:p>
            <w:r>
              <w:rPr>
                <w:sz w:val="19"/>
                <w:szCs w:val="19"/>
              </w:rPr>
              <w:t xml:space="preserve">Activé</w:t>
            </w:r>
          </w:p>
        </w:tc>
        <w:tc>
          <w:tcPr>
            <w:tcW w:type="dxa" w:w="2626"/>
            <w:tcBorders>
              <w:top w:val="single" w:color="C9D6CE" w:sz="2"/>
              <w:left w:val="single" w:color="C9D6CE" w:sz="2"/>
              <w:bottom w:val="single" w:color="C9D6CE" w:sz="2"/>
              <w:right w:val="single" w:color="C9D6CE" w:sz="2"/>
            </w:tcBorders>
            <w:shd w:fill="E8EFEA" w:color="auto" w:val="clear"/>
            <w:tcMar>
              <w:top w:type="dxa" w:w="50"/>
              <w:left w:type="dxa" w:w="100"/>
              <w:bottom w:type="dxa" w:w="50"/>
              <w:right w:type="dxa" w:w="100"/>
            </w:tcMar>
          </w:tcPr>
          <w:p>
            <w:r>
              <w:rPr>
                <w:sz w:val="19"/>
                <w:szCs w:val="19"/>
              </w:rPr>
              <w:t xml:space="preserve">Désactivé</w:t>
            </w:r>
          </w:p>
        </w:tc>
      </w:tr>
      <w:tr>
        <w:tc>
          <w:tcPr>
            <w:tcW w:type="dxa" w:w="1900"/>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Logs</w:t>
            </w:r>
          </w:p>
        </w:tc>
        <w:tc>
          <w:tcPr>
            <w:tcW w:type="dxa" w:w="2500"/>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DEBUG</w:t>
            </w:r>
          </w:p>
        </w:tc>
        <w:tc>
          <w:tcPr>
            <w:tcW w:type="dxa" w:w="2000"/>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INFO</w:t>
            </w:r>
          </w:p>
        </w:tc>
        <w:tc>
          <w:tcPr>
            <w:tcW w:type="dxa" w:w="2626"/>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WARN</w:t>
            </w:r>
          </w:p>
        </w:tc>
      </w:tr>
      <w:tr>
        <w:tc>
          <w:tcPr>
            <w:tcW w:type="dxa" w:w="1900"/>
            <w:tcBorders>
              <w:top w:val="single" w:color="C9D6CE" w:sz="2"/>
              <w:left w:val="single" w:color="C9D6CE" w:sz="2"/>
              <w:bottom w:val="single" w:color="C9D6CE" w:sz="2"/>
              <w:right w:val="single" w:color="C9D6CE" w:sz="2"/>
            </w:tcBorders>
            <w:shd w:fill="E8EFEA" w:color="auto" w:val="clear"/>
            <w:tcMar>
              <w:top w:type="dxa" w:w="50"/>
              <w:left w:type="dxa" w:w="100"/>
              <w:bottom w:type="dxa" w:w="50"/>
              <w:right w:type="dxa" w:w="100"/>
            </w:tcMar>
          </w:tcPr>
          <w:p>
            <w:r>
              <w:rPr>
                <w:sz w:val="19"/>
                <w:szCs w:val="19"/>
              </w:rPr>
              <w:t xml:space="preserve">HTTPS</w:t>
            </w:r>
          </w:p>
        </w:tc>
        <w:tc>
          <w:tcPr>
            <w:tcW w:type="dxa" w:w="2500"/>
            <w:tcBorders>
              <w:top w:val="single" w:color="C9D6CE" w:sz="2"/>
              <w:left w:val="single" w:color="C9D6CE" w:sz="2"/>
              <w:bottom w:val="single" w:color="C9D6CE" w:sz="2"/>
              <w:right w:val="single" w:color="C9D6CE" w:sz="2"/>
            </w:tcBorders>
            <w:shd w:fill="E8EFEA" w:color="auto" w:val="clear"/>
            <w:tcMar>
              <w:top w:type="dxa" w:w="50"/>
              <w:left w:type="dxa" w:w="100"/>
              <w:bottom w:type="dxa" w:w="50"/>
              <w:right w:type="dxa" w:w="100"/>
            </w:tcMar>
          </w:tcPr>
          <w:p>
            <w:r>
              <w:rPr>
                <w:sz w:val="19"/>
                <w:szCs w:val="19"/>
              </w:rPr>
              <w:t xml:space="preserve">Non (HTTP local)</w:t>
            </w:r>
          </w:p>
        </w:tc>
        <w:tc>
          <w:tcPr>
            <w:tcW w:type="dxa" w:w="2000"/>
            <w:tcBorders>
              <w:top w:val="single" w:color="C9D6CE" w:sz="2"/>
              <w:left w:val="single" w:color="C9D6CE" w:sz="2"/>
              <w:bottom w:val="single" w:color="C9D6CE" w:sz="2"/>
              <w:right w:val="single" w:color="C9D6CE" w:sz="2"/>
            </w:tcBorders>
            <w:shd w:fill="E8EFEA" w:color="auto" w:val="clear"/>
            <w:tcMar>
              <w:top w:type="dxa" w:w="50"/>
              <w:left w:type="dxa" w:w="100"/>
              <w:bottom w:type="dxa" w:w="50"/>
              <w:right w:type="dxa" w:w="100"/>
            </w:tcMar>
          </w:tcPr>
          <w:p>
            <w:r>
              <w:rPr>
                <w:sz w:val="19"/>
                <w:szCs w:val="19"/>
              </w:rPr>
              <w:t xml:space="preserve">Oui</w:t>
            </w:r>
          </w:p>
        </w:tc>
        <w:tc>
          <w:tcPr>
            <w:tcW w:type="dxa" w:w="2626"/>
            <w:tcBorders>
              <w:top w:val="single" w:color="C9D6CE" w:sz="2"/>
              <w:left w:val="single" w:color="C9D6CE" w:sz="2"/>
              <w:bottom w:val="single" w:color="C9D6CE" w:sz="2"/>
              <w:right w:val="single" w:color="C9D6CE" w:sz="2"/>
            </w:tcBorders>
            <w:shd w:fill="E8EFEA" w:color="auto" w:val="clear"/>
            <w:tcMar>
              <w:top w:type="dxa" w:w="50"/>
              <w:left w:type="dxa" w:w="100"/>
              <w:bottom w:type="dxa" w:w="50"/>
              <w:right w:type="dxa" w:w="100"/>
            </w:tcMar>
          </w:tcPr>
          <w:p>
            <w:r>
              <w:rPr>
                <w:sz w:val="19"/>
                <w:szCs w:val="19"/>
              </w:rPr>
              <w:t xml:space="preserve">Oui (HSTS)</w:t>
            </w:r>
          </w:p>
        </w:tc>
      </w:tr>
      <w:tr>
        <w:tc>
          <w:tcPr>
            <w:tcW w:type="dxa" w:w="1900"/>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Données</w:t>
            </w:r>
          </w:p>
        </w:tc>
        <w:tc>
          <w:tcPr>
            <w:tcW w:type="dxa" w:w="2500"/>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Jeux de test</w:t>
            </w:r>
          </w:p>
        </w:tc>
        <w:tc>
          <w:tcPr>
            <w:tcW w:type="dxa" w:w="2000"/>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Fictives</w:t>
            </w:r>
          </w:p>
        </w:tc>
        <w:tc>
          <w:tcPr>
            <w:tcW w:type="dxa" w:w="2626"/>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Réelles</w:t>
            </w:r>
          </w:p>
        </w:tc>
      </w:tr>
    </w:tbl>
    <w:p>
      <w:pPr>
        <w:spacing w:after="120" w:line="276"/>
      </w:pPr>
      <w:r>
        <w:rPr>
          <w:b/>
          <w:bCs/>
          <w:sz w:val="21"/>
          <w:szCs w:val="21"/>
        </w:rPr>
        <w:t xml:space="preserve">Profils Spring. </w:t>
      </w:r>
      <w:r>
        <w:rPr>
          <w:sz w:val="21"/>
          <w:szCs w:val="21"/>
        </w:rPr>
        <w:t xml:space="preserve">La bascule s'opère par </w:t>
      </w:r>
      <w:r>
        <w:rPr>
          <w:rFonts w:ascii="Consolas" w:cs="Consolas" w:eastAsia="Consolas" w:hAnsi="Consolas"/>
          <w:color w:val="2C5F4A"/>
          <w:sz w:val="19"/>
          <w:szCs w:val="19"/>
        </w:rPr>
        <w:t xml:space="preserve">SPRING_PROFILES_ACTIVE</w:t>
      </w:r>
      <w:r>
        <w:rPr>
          <w:sz w:val="21"/>
          <w:szCs w:val="21"/>
        </w:rPr>
        <w:t xml:space="preserve"> : </w:t>
      </w:r>
      <w:r>
        <w:rPr>
          <w:rFonts w:ascii="Consolas" w:cs="Consolas" w:eastAsia="Consolas" w:hAnsi="Consolas"/>
          <w:color w:val="2C5F4A"/>
          <w:sz w:val="19"/>
          <w:szCs w:val="19"/>
        </w:rPr>
        <w:t xml:space="preserve">application-dev.properties</w:t>
      </w:r>
      <w:r>
        <w:rPr>
          <w:sz w:val="21"/>
          <w:szCs w:val="21"/>
        </w:rPr>
        <w:t xml:space="preserve"> (logs verbeux, Swagger actif) et </w:t>
      </w:r>
      <w:r>
        <w:rPr>
          <w:rFonts w:ascii="Consolas" w:cs="Consolas" w:eastAsia="Consolas" w:hAnsi="Consolas"/>
          <w:color w:val="2C5F4A"/>
          <w:sz w:val="19"/>
          <w:szCs w:val="19"/>
        </w:rPr>
        <w:t xml:space="preserve">application-prod.properties</w:t>
      </w:r>
      <w:r>
        <w:rPr>
          <w:sz w:val="21"/>
          <w:szCs w:val="21"/>
        </w:rPr>
        <w:t xml:space="preserve"> (logs réduits, Swagger désactivé, ddl-auto=validate).</w:t>
      </w:r>
    </w:p>
    <w:p>
      <w:pPr>
        <w:spacing w:after="120" w:line="276"/>
      </w:pPr>
      <w:r>
        <w:rPr>
          <w:b/>
          <w:bCs/>
          <w:sz w:val="21"/>
          <w:szCs w:val="21"/>
        </w:rPr>
        <w:t xml:space="preserve">Variables d'environnement. </w:t>
      </w:r>
      <w:r>
        <w:rPr>
          <w:sz w:val="21"/>
          <w:szCs w:val="21"/>
        </w:rPr>
        <w:t xml:space="preserve">Aucun secret n'est commité. Les valeurs sensibles vivent dans : le </w:t>
      </w:r>
      <w:r>
        <w:rPr>
          <w:rFonts w:ascii="Consolas" w:cs="Consolas" w:eastAsia="Consolas" w:hAnsi="Consolas"/>
          <w:color w:val="2C5F4A"/>
          <w:sz w:val="19"/>
          <w:szCs w:val="19"/>
        </w:rPr>
        <w:t xml:space="preserve">.env</w:t>
      </w:r>
      <w:r>
        <w:rPr>
          <w:sz w:val="21"/>
          <w:szCs w:val="21"/>
        </w:rPr>
        <w:t xml:space="preserve"> local (ignoré par git), les </w:t>
      </w:r>
      <w:r>
        <w:rPr>
          <w:b/>
          <w:bCs/>
          <w:sz w:val="21"/>
          <w:szCs w:val="21"/>
        </w:rPr>
        <w:t xml:space="preserve">secrets GitHub Actions</w:t>
      </w:r>
      <w:r>
        <w:rPr>
          <w:sz w:val="21"/>
          <w:szCs w:val="21"/>
        </w:rPr>
        <w:t xml:space="preserve"> (identifiants BDD, JWT, token Vercel), les </w:t>
      </w:r>
      <w:r>
        <w:rPr>
          <w:b/>
          <w:bCs/>
          <w:sz w:val="21"/>
          <w:szCs w:val="21"/>
        </w:rPr>
        <w:t xml:space="preserve">secrets Dependabot</w:t>
      </w:r>
      <w:r>
        <w:rPr>
          <w:sz w:val="21"/>
          <w:szCs w:val="21"/>
        </w:rPr>
        <w:t xml:space="preserve"> (coffre distinct — Dependabot n'a pas accès à ceux d'Actions), et les </w:t>
      </w:r>
      <w:r>
        <w:rPr>
          <w:b/>
          <w:bCs/>
          <w:sz w:val="21"/>
          <w:szCs w:val="21"/>
        </w:rPr>
        <w:t xml:space="preserve">variables d'environnement Vercel</w:t>
      </w:r>
      <w:r>
        <w:rPr>
          <w:sz w:val="21"/>
          <w:szCs w:val="21"/>
        </w:rPr>
        <w:t xml:space="preserve"> (clés publiques Supabase, URL API).</w:t>
      </w:r>
    </w:p>
    <w:p>
      <w:pPr>
        <w:pageBreakBefore/>
      </w:pPr>
    </w:p>
    <w:p>
      <w:pPr>
        <w:pStyle w:val="Heading1"/>
        <w:spacing w:after="160" w:before="320"/>
      </w:pPr>
      <w:r>
        <w:rPr>
          <w:b/>
          <w:bCs/>
          <w:color w:val="2C5F4A"/>
          <w:sz w:val="30"/>
          <w:szCs w:val="30"/>
        </w:rPr>
        <w:t xml:space="preserve">6. Supervision du déploiement</w:t>
      </w:r>
    </w:p>
    <w:p>
      <w:pPr>
        <w:spacing w:after="120" w:line="276"/>
      </w:pPr>
      <w:r>
        <w:rPr>
          <w:sz w:val="21"/>
          <w:szCs w:val="21"/>
        </w:rPr>
        <w:t xml:space="preserve">La stack de supervision accompagne la mise en production et permet de valider le bon fonctionnement après déploiement.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026"/>
      </w:tblGrid>
      <w:tr>
        <w:trPr>
          <w:tblHeader/>
        </w:trPr>
        <w:tc>
          <w:tcPr>
            <w:tcW w:type="dxa" w:w="2400"/>
            <w:tcBorders>
              <w:top w:val="single" w:color="C9D6CE" w:sz="2"/>
              <w:left w:val="single" w:color="C9D6CE" w:sz="2"/>
              <w:bottom w:val="single" w:color="C9D6CE" w:sz="2"/>
              <w:right w:val="single" w:color="C9D6CE" w:sz="2"/>
            </w:tcBorders>
            <w:shd w:fill="4B6B59" w:color="auto" w:val="clear"/>
            <w:tcMar>
              <w:top w:type="dxa" w:w="60"/>
              <w:left w:type="dxa" w:w="100"/>
              <w:bottom w:type="dxa" w:w="60"/>
              <w:right w:type="dxa" w:w="100"/>
            </w:tcMar>
          </w:tcPr>
          <w:p>
            <w:r>
              <w:rPr>
                <w:b/>
                <w:bCs/>
                <w:color w:val="FFFFFF"/>
                <w:sz w:val="19"/>
                <w:szCs w:val="19"/>
              </w:rPr>
              <w:t xml:space="preserve">Composant</w:t>
            </w:r>
          </w:p>
        </w:tc>
        <w:tc>
          <w:tcPr>
            <w:tcW w:type="dxa" w:w="4600"/>
            <w:tcBorders>
              <w:top w:val="single" w:color="C9D6CE" w:sz="2"/>
              <w:left w:val="single" w:color="C9D6CE" w:sz="2"/>
              <w:bottom w:val="single" w:color="C9D6CE" w:sz="2"/>
              <w:right w:val="single" w:color="C9D6CE" w:sz="2"/>
            </w:tcBorders>
            <w:shd w:fill="4B6B59" w:color="auto" w:val="clear"/>
            <w:tcMar>
              <w:top w:type="dxa" w:w="60"/>
              <w:left w:type="dxa" w:w="100"/>
              <w:bottom w:type="dxa" w:w="60"/>
              <w:right w:type="dxa" w:w="100"/>
            </w:tcMar>
          </w:tcPr>
          <w:p>
            <w:r>
              <w:rPr>
                <w:b/>
                <w:bCs/>
                <w:color w:val="FFFFFF"/>
                <w:sz w:val="19"/>
                <w:szCs w:val="19"/>
              </w:rPr>
              <w:t xml:space="preserve">Rôle</w:t>
            </w:r>
          </w:p>
        </w:tc>
        <w:tc>
          <w:tcPr>
            <w:tcW w:type="dxa" w:w="2026"/>
            <w:tcBorders>
              <w:top w:val="single" w:color="C9D6CE" w:sz="2"/>
              <w:left w:val="single" w:color="C9D6CE" w:sz="2"/>
              <w:bottom w:val="single" w:color="C9D6CE" w:sz="2"/>
              <w:right w:val="single" w:color="C9D6CE" w:sz="2"/>
            </w:tcBorders>
            <w:shd w:fill="4B6B59" w:color="auto" w:val="clear"/>
            <w:tcMar>
              <w:top w:type="dxa" w:w="60"/>
              <w:left w:type="dxa" w:w="100"/>
              <w:bottom w:type="dxa" w:w="60"/>
              <w:right w:type="dxa" w:w="100"/>
            </w:tcMar>
          </w:tcPr>
          <w:p>
            <w:r>
              <w:rPr>
                <w:b/>
                <w:bCs/>
                <w:color w:val="FFFFFF"/>
                <w:sz w:val="19"/>
                <w:szCs w:val="19"/>
              </w:rPr>
              <w:t xml:space="preserve">Port</w:t>
            </w:r>
          </w:p>
        </w:tc>
      </w:tr>
      <w:tr>
        <w:tc>
          <w:tcPr>
            <w:tcW w:type="dxa" w:w="2400"/>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Spring Boot Actuator</w:t>
            </w:r>
          </w:p>
        </w:tc>
        <w:tc>
          <w:tcPr>
            <w:tcW w:type="dxa" w:w="4600"/>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Expose /actuator/health et /actuator/prometheus</w:t>
            </w:r>
          </w:p>
        </w:tc>
        <w:tc>
          <w:tcPr>
            <w:tcW w:type="dxa" w:w="2026"/>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interne</w:t>
            </w:r>
          </w:p>
        </w:tc>
      </w:tr>
      <w:tr>
        <w:tc>
          <w:tcPr>
            <w:tcW w:type="dxa" w:w="2400"/>
            <w:tcBorders>
              <w:top w:val="single" w:color="C9D6CE" w:sz="2"/>
              <w:left w:val="single" w:color="C9D6CE" w:sz="2"/>
              <w:bottom w:val="single" w:color="C9D6CE" w:sz="2"/>
              <w:right w:val="single" w:color="C9D6CE" w:sz="2"/>
            </w:tcBorders>
            <w:shd w:fill="E8EFEA" w:color="auto" w:val="clear"/>
            <w:tcMar>
              <w:top w:type="dxa" w:w="50"/>
              <w:left w:type="dxa" w:w="100"/>
              <w:bottom w:type="dxa" w:w="50"/>
              <w:right w:type="dxa" w:w="100"/>
            </w:tcMar>
          </w:tcPr>
          <w:p>
            <w:r>
              <w:rPr>
                <w:sz w:val="19"/>
                <w:szCs w:val="19"/>
              </w:rPr>
              <w:t xml:space="preserve">Prometheus</w:t>
            </w:r>
          </w:p>
        </w:tc>
        <w:tc>
          <w:tcPr>
            <w:tcW w:type="dxa" w:w="4600"/>
            <w:tcBorders>
              <w:top w:val="single" w:color="C9D6CE" w:sz="2"/>
              <w:left w:val="single" w:color="C9D6CE" w:sz="2"/>
              <w:bottom w:val="single" w:color="C9D6CE" w:sz="2"/>
              <w:right w:val="single" w:color="C9D6CE" w:sz="2"/>
            </w:tcBorders>
            <w:shd w:fill="E8EFEA" w:color="auto" w:val="clear"/>
            <w:tcMar>
              <w:top w:type="dxa" w:w="50"/>
              <w:left w:type="dxa" w:w="100"/>
              <w:bottom w:type="dxa" w:w="50"/>
              <w:right w:type="dxa" w:w="100"/>
            </w:tcMar>
          </w:tcPr>
          <w:p>
            <w:r>
              <w:rPr>
                <w:sz w:val="19"/>
                <w:szCs w:val="19"/>
              </w:rPr>
              <w:t xml:space="preserve">Collecte des métriques (scrape 15 s)</w:t>
            </w:r>
          </w:p>
        </w:tc>
        <w:tc>
          <w:tcPr>
            <w:tcW w:type="dxa" w:w="2026"/>
            <w:tcBorders>
              <w:top w:val="single" w:color="C9D6CE" w:sz="2"/>
              <w:left w:val="single" w:color="C9D6CE" w:sz="2"/>
              <w:bottom w:val="single" w:color="C9D6CE" w:sz="2"/>
              <w:right w:val="single" w:color="C9D6CE" w:sz="2"/>
            </w:tcBorders>
            <w:shd w:fill="E8EFEA" w:color="auto" w:val="clear"/>
            <w:tcMar>
              <w:top w:type="dxa" w:w="50"/>
              <w:left w:type="dxa" w:w="100"/>
              <w:bottom w:type="dxa" w:w="50"/>
              <w:right w:type="dxa" w:w="100"/>
            </w:tcMar>
          </w:tcPr>
          <w:p>
            <w:r>
              <w:rPr>
                <w:sz w:val="19"/>
                <w:szCs w:val="19"/>
              </w:rPr>
              <w:t xml:space="preserve">9090 (interne)</w:t>
            </w:r>
          </w:p>
        </w:tc>
      </w:tr>
      <w:tr>
        <w:tc>
          <w:tcPr>
            <w:tcW w:type="dxa" w:w="2400"/>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Grafana</w:t>
            </w:r>
          </w:p>
        </w:tc>
        <w:tc>
          <w:tcPr>
            <w:tcW w:type="dxa" w:w="4600"/>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Tableaux de bord (JVM, HikariCP, Tomcat, HTTP)</w:t>
            </w:r>
          </w:p>
        </w:tc>
        <w:tc>
          <w:tcPr>
            <w:tcW w:type="dxa" w:w="2026"/>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3001</w:t>
            </w:r>
          </w:p>
        </w:tc>
      </w:tr>
      <w:tr>
        <w:tc>
          <w:tcPr>
            <w:tcW w:type="dxa" w:w="2400"/>
            <w:tcBorders>
              <w:top w:val="single" w:color="C9D6CE" w:sz="2"/>
              <w:left w:val="single" w:color="C9D6CE" w:sz="2"/>
              <w:bottom w:val="single" w:color="C9D6CE" w:sz="2"/>
              <w:right w:val="single" w:color="C9D6CE" w:sz="2"/>
            </w:tcBorders>
            <w:shd w:fill="E8EFEA" w:color="auto" w:val="clear"/>
            <w:tcMar>
              <w:top w:type="dxa" w:w="50"/>
              <w:left w:type="dxa" w:w="100"/>
              <w:bottom w:type="dxa" w:w="50"/>
              <w:right w:type="dxa" w:w="100"/>
            </w:tcMar>
          </w:tcPr>
          <w:p>
            <w:r>
              <w:rPr>
                <w:sz w:val="19"/>
                <w:szCs w:val="19"/>
              </w:rPr>
              <w:t xml:space="preserve">Loki + Promtail</w:t>
            </w:r>
          </w:p>
        </w:tc>
        <w:tc>
          <w:tcPr>
            <w:tcW w:type="dxa" w:w="4600"/>
            <w:tcBorders>
              <w:top w:val="single" w:color="C9D6CE" w:sz="2"/>
              <w:left w:val="single" w:color="C9D6CE" w:sz="2"/>
              <w:bottom w:val="single" w:color="C9D6CE" w:sz="2"/>
              <w:right w:val="single" w:color="C9D6CE" w:sz="2"/>
            </w:tcBorders>
            <w:shd w:fill="E8EFEA" w:color="auto" w:val="clear"/>
            <w:tcMar>
              <w:top w:type="dxa" w:w="50"/>
              <w:left w:type="dxa" w:w="100"/>
              <w:bottom w:type="dxa" w:w="50"/>
              <w:right w:type="dxa" w:w="100"/>
            </w:tcMar>
          </w:tcPr>
          <w:p>
            <w:r>
              <w:rPr>
                <w:sz w:val="19"/>
                <w:szCs w:val="19"/>
              </w:rPr>
              <w:t xml:space="preserve">Agrégation des journaux</w:t>
            </w:r>
          </w:p>
        </w:tc>
        <w:tc>
          <w:tcPr>
            <w:tcW w:type="dxa" w:w="2026"/>
            <w:tcBorders>
              <w:top w:val="single" w:color="C9D6CE" w:sz="2"/>
              <w:left w:val="single" w:color="C9D6CE" w:sz="2"/>
              <w:bottom w:val="single" w:color="C9D6CE" w:sz="2"/>
              <w:right w:val="single" w:color="C9D6CE" w:sz="2"/>
            </w:tcBorders>
            <w:shd w:fill="E8EFEA" w:color="auto" w:val="clear"/>
            <w:tcMar>
              <w:top w:type="dxa" w:w="50"/>
              <w:left w:type="dxa" w:w="100"/>
              <w:bottom w:type="dxa" w:w="50"/>
              <w:right w:type="dxa" w:w="100"/>
            </w:tcMar>
          </w:tcPr>
          <w:p>
            <w:r>
              <w:rPr>
                <w:sz w:val="19"/>
                <w:szCs w:val="19"/>
              </w:rPr>
              <w:t xml:space="preserve">3100 (interne)</w:t>
            </w:r>
          </w:p>
        </w:tc>
      </w:tr>
    </w:tbl>
    <w:p>
      <w:pPr>
        <w:spacing w:after="120" w:line="276"/>
      </w:pPr>
      <w:r>
        <w:rPr>
          <w:b/>
          <w:bCs/>
          <w:sz w:val="21"/>
          <w:szCs w:val="21"/>
        </w:rPr>
        <w:t xml:space="preserve">Métriques suivies. </w:t>
      </w:r>
      <w:r>
        <w:rPr>
          <w:sz w:val="21"/>
          <w:szCs w:val="21"/>
        </w:rPr>
        <w:t xml:space="preserve">Débit HTTP, latence p50/p95/p99, taux d'erreur, pool de connexions BDD (HikariCP), threads Tomcat, mémoire JVM.</w:t>
      </w:r>
    </w:p>
    <w:p>
      <w:pPr>
        <w:spacing w:after="120" w:line="276"/>
      </w:pPr>
      <w:r>
        <w:rPr>
          <w:b/>
          <w:bCs/>
          <w:sz w:val="21"/>
          <w:szCs w:val="21"/>
        </w:rPr>
        <w:t xml:space="preserve">Limite et action recommandée. </w:t>
      </w:r>
      <w:r>
        <w:rPr>
          <w:sz w:val="21"/>
          <w:szCs w:val="21"/>
        </w:rPr>
        <w:t xml:space="preserve">Cette stack tourne sur le même hôte que l'API : si le serveur tombe, la supervision tombe avec lui. Une </w:t>
      </w:r>
      <w:r>
        <w:rPr>
          <w:b/>
          <w:bCs/>
          <w:sz w:val="21"/>
          <w:szCs w:val="21"/>
        </w:rPr>
        <w:t xml:space="preserve">sonde externe</w:t>
      </w:r>
      <w:r>
        <w:rPr>
          <w:sz w:val="21"/>
          <w:szCs w:val="21"/>
        </w:rPr>
        <w:t xml:space="preserve"> (UptimeRobot ou équivalent) interrogeant </w:t>
      </w:r>
      <w:r>
        <w:rPr>
          <w:rFonts w:ascii="Consolas" w:cs="Consolas" w:eastAsia="Consolas" w:hAnsi="Consolas"/>
          <w:color w:val="2C5F4A"/>
          <w:sz w:val="19"/>
          <w:szCs w:val="19"/>
        </w:rPr>
        <w:t xml:space="preserve">/actuator/health</w:t>
      </w:r>
      <w:r>
        <w:rPr>
          <w:sz w:val="21"/>
          <w:szCs w:val="21"/>
        </w:rPr>
        <w:t xml:space="preserve"> depuis Internet, avec alerte e-mail, est nécessaire pour détecter une indisponibilité totale.</w:t>
      </w:r>
    </w:p>
    <w:p>
      <w:pPr>
        <w:spacing w:after="120" w:line="276"/>
      </w:pPr>
      <w:r>
        <w:rPr>
          <w:i/>
          <w:iCs/>
          <w:color w:val="777777"/>
          <w:sz w:val="20"/>
          <w:szCs w:val="20"/>
        </w:rPr>
        <w:t xml:space="preserve">À joindre au dossier : captures d'écran du tableau de bord Grafana et de la page d'état de la sonde externe.</w:t>
      </w:r>
    </w:p>
    <w:p>
      <w:pPr>
        <w:pStyle w:val="Heading1"/>
        <w:spacing w:after="160" w:before="320"/>
      </w:pPr>
      <w:r>
        <w:rPr>
          <w:b/>
          <w:bCs/>
          <w:color w:val="2C5F4A"/>
          <w:sz w:val="30"/>
          <w:szCs w:val="30"/>
        </w:rPr>
        <w:t xml:space="preserve">7. Procédure de mise en production</w:t>
      </w:r>
    </w:p>
    <w:p>
      <w:pPr>
        <w:pStyle w:val="ListParagraph"/>
        <w:numPr>
          <w:ilvl w:val="0"/>
          <w:numId w:val="2"/>
        </w:numPr>
        <w:spacing w:after="80"/>
      </w:pPr>
      <w:r>
        <w:rPr>
          <w:b/>
          <w:bCs/>
          <w:sz w:val="21"/>
          <w:szCs w:val="21"/>
        </w:rPr>
        <w:t xml:space="preserve">1. </w:t>
      </w:r>
      <w:r>
        <w:rPr>
          <w:sz w:val="21"/>
          <w:szCs w:val="21"/>
        </w:rPr>
        <w:t xml:space="preserve">Ouvrir une pull request </w:t>
      </w:r>
      <w:r>
        <w:rPr>
          <w:rFonts w:ascii="Consolas" w:cs="Consolas" w:eastAsia="Consolas" w:hAnsi="Consolas"/>
          <w:color w:val="2C5F4A"/>
          <w:sz w:val="19"/>
          <w:szCs w:val="19"/>
        </w:rPr>
        <w:t xml:space="preserve">develop → main</w:t>
      </w:r>
      <w:r>
        <w:rPr>
          <w:sz w:val="21"/>
          <w:szCs w:val="21"/>
        </w:rPr>
        <w:t xml:space="preserve">.</w:t>
      </w:r>
    </w:p>
    <w:p>
      <w:pPr>
        <w:pStyle w:val="ListParagraph"/>
        <w:numPr>
          <w:ilvl w:val="0"/>
          <w:numId w:val="2"/>
        </w:numPr>
        <w:spacing w:after="80"/>
      </w:pPr>
      <w:r>
        <w:rPr>
          <w:b/>
          <w:bCs/>
          <w:sz w:val="21"/>
          <w:szCs w:val="21"/>
        </w:rPr>
        <w:t xml:space="preserve">2. </w:t>
      </w:r>
      <w:r>
        <w:rPr>
          <w:sz w:val="21"/>
          <w:szCs w:val="21"/>
        </w:rPr>
        <w:t xml:space="preserve">Attendre les checks verts (build, tests, scans de sécurité).</w:t>
      </w:r>
    </w:p>
    <w:p>
      <w:pPr>
        <w:pStyle w:val="ListParagraph"/>
        <w:numPr>
          <w:ilvl w:val="0"/>
          <w:numId w:val="2"/>
        </w:numPr>
        <w:spacing w:after="80"/>
      </w:pPr>
      <w:r>
        <w:rPr>
          <w:b/>
          <w:bCs/>
          <w:sz w:val="21"/>
          <w:szCs w:val="21"/>
        </w:rPr>
        <w:t xml:space="preserve">3. </w:t>
      </w:r>
      <w:r>
        <w:rPr>
          <w:sz w:val="21"/>
          <w:szCs w:val="21"/>
        </w:rPr>
        <w:t xml:space="preserve">Merger la PR — le déploiement se déclenche (Vercel pour le web, image GHCR pour l'API).</w:t>
      </w:r>
    </w:p>
    <w:p>
      <w:pPr>
        <w:pStyle w:val="ListParagraph"/>
        <w:numPr>
          <w:ilvl w:val="0"/>
          <w:numId w:val="2"/>
        </w:numPr>
        <w:spacing w:after="80"/>
      </w:pPr>
      <w:r>
        <w:rPr>
          <w:b/>
          <w:bCs/>
          <w:sz w:val="21"/>
          <w:szCs w:val="21"/>
        </w:rPr>
        <w:t xml:space="preserve">4. </w:t>
      </w:r>
      <w:r>
        <w:rPr>
          <w:sz w:val="21"/>
          <w:szCs w:val="21"/>
        </w:rPr>
        <w:t xml:space="preserve">Tagger la version sur </w:t>
      </w:r>
      <w:r>
        <w:rPr>
          <w:rFonts w:ascii="Consolas" w:cs="Consolas" w:eastAsia="Consolas" w:hAnsi="Consolas"/>
          <w:color w:val="2C5F4A"/>
          <w:sz w:val="19"/>
          <w:szCs w:val="19"/>
        </w:rPr>
        <w:t xml:space="preserve">main</w:t>
      </w:r>
      <w:r>
        <w:rPr>
          <w:sz w:val="21"/>
          <w:szCs w:val="21"/>
        </w:rPr>
        <w:t xml:space="preserve"> (</w:t>
      </w:r>
      <w:r>
        <w:rPr>
          <w:rFonts w:ascii="Consolas" w:cs="Consolas" w:eastAsia="Consolas" w:hAnsi="Consolas"/>
          <w:color w:val="2C5F4A"/>
          <w:sz w:val="19"/>
          <w:szCs w:val="19"/>
        </w:rPr>
        <w:t xml:space="preserve">git tag -a vX.Y.Z</w:t>
      </w:r>
      <w:r>
        <w:rPr>
          <w:sz w:val="21"/>
          <w:szCs w:val="21"/>
        </w:rPr>
        <w:t xml:space="preserve">).</w:t>
      </w:r>
    </w:p>
    <w:p>
      <w:pPr>
        <w:spacing w:after="120" w:line="276"/>
      </w:pPr>
      <w:r>
        <w:rPr>
          <w:b/>
          <w:bCs/>
          <w:sz w:val="21"/>
          <w:szCs w:val="21"/>
        </w:rPr>
        <w:t xml:space="preserve">Rollback. </w:t>
      </w:r>
      <w:r>
        <w:rPr>
          <w:sz w:val="21"/>
          <w:szCs w:val="21"/>
        </w:rPr>
        <w:t xml:space="preserve">Web : redéployer un déploiement Vercel antérieur (dashboard ou workflow manuel). API : re-tagger sur GHCR l'image précédente et relancer. Mobile : redistribuer l'APK de la version stable précédente.</w:t>
      </w:r>
    </w:p>
    <w:p>
      <w:pPr>
        <w:pStyle w:val="Heading1"/>
        <w:spacing w:after="160" w:before="320"/>
      </w:pPr>
      <w:r>
        <w:rPr>
          <w:b/>
          <w:bCs/>
          <w:color w:val="2C5F4A"/>
          <w:sz w:val="30"/>
          <w:szCs w:val="30"/>
        </w:rPr>
        <w:t xml:space="preserve">8. Conclusion</w:t>
      </w:r>
    </w:p>
    <w:p>
      <w:pPr>
        <w:spacing w:after="120" w:line="276"/>
      </w:pPr>
      <w:r>
        <w:rPr>
          <w:sz w:val="21"/>
          <w:szCs w:val="21"/>
        </w:rPr>
        <w:t xml:space="preserve">La chaîne de livraison est automatisée de bout en bout et homogène sur les trois applications : intégration continue systématique, protection de la branche de production, et déploiement piloté par des déclencheurs explicites. Le principe directeur — aucun secret dans le code, aucun déploiement non maîtrisé — est appliqué sur l'ensemble du système.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CESIZen — Plan de déploiement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2026-07-10T05:56:39.259Z</dcterms:created>
  <dcterms:modified xsi:type="dcterms:W3CDTF">2026-07-10T05:56:39.260Z</dcterms:modified>
</cp:coreProperties>
</file>

<file path=docProps/custom.xml><?xml version="1.0" encoding="utf-8"?>
<Properties xmlns="http://schemas.openxmlformats.org/officeDocument/2006/custom-properties" xmlns:vt="http://schemas.openxmlformats.org/officeDocument/2006/docPropsVTypes"/>
</file>