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olor w:val="2C5F4A"/>
          <w:sz w:val="72"/>
          <w:szCs w:val="72"/>
        </w:rPr>
        <w:t xml:space="preserve">CESIZen</w:t>
      </w:r>
    </w:p>
    <w:p>
      <w:pPr>
        <w:spacing w:after="600"/>
        <w:jc w:val="center"/>
      </w:pPr>
      <w:r>
        <w:rPr>
          <w:i/>
          <w:iCs/>
          <w:color w:val="4B6B59"/>
          <w:sz w:val="24"/>
          <w:szCs w:val="24"/>
        </w:rPr>
        <w:t xml:space="preserve">Plateforme de bien-être numérique</w:t>
      </w:r>
    </w:p>
    <w:p>
      <w:pPr>
        <w:spacing w:before="400"/>
        <w:jc w:val="center"/>
      </w:pPr>
      <w:r>
        <w:rPr>
          <w:b/>
          <w:bCs/>
          <w:color w:val="1F2A24"/>
          <w:sz w:val="40"/>
          <w:szCs w:val="40"/>
        </w:rPr>
        <w:t xml:space="preserve">PLAN DE SÉCURISATION</w:t>
      </w:r>
    </w:p>
    <w:p>
      <w:pPr>
        <w:spacing w:after="800"/>
        <w:jc w:val="center"/>
      </w:pPr>
      <w:r>
        <w:rPr>
          <w:color w:val="4B6B59"/>
          <w:sz w:val="22"/>
          <w:szCs w:val="22"/>
        </w:rPr>
        <w:t xml:space="preserve">Bloc de compétences 3 — Sécuriser les applications</w:t>
      </w:r>
    </w:p>
    <w:p>
      <w:pPr>
        <w:jc w:val="center"/>
      </w:pPr>
      <w:r>
        <w:rPr>
          <w:sz w:val="20"/>
          <w:szCs w:val="20"/>
        </w:rPr>
        <w:t xml:space="preserve">API Spring Boot · Front Next.js · Mobile Flutter</w:t>
      </w:r>
    </w:p>
    <w:p>
      <w:pPr>
        <w:spacing w:before="200"/>
        <w:jc w:val="center"/>
      </w:pPr>
      <w:r>
        <w:rPr>
          <w:color w:val="777777"/>
          <w:sz w:val="20"/>
          <w:szCs w:val="20"/>
        </w:rPr>
        <w:t xml:space="preserve">Version 1.0 — Juillet 2026</w:t>
      </w:r>
    </w:p>
    <w:p>
      <w:pPr>
        <w:pageBreakBefore/>
      </w:pPr>
    </w:p>
    <w:p>
      <w:pPr>
        <w:pStyle w:val="Heading1"/>
        <w:spacing w:after="160" w:before="320"/>
      </w:pPr>
      <w:r>
        <w:rPr>
          <w:b/>
          <w:bCs/>
          <w:color w:val="2C5F4A"/>
          <w:sz w:val="30"/>
          <w:szCs w:val="30"/>
        </w:rPr>
        <w:t xml:space="preserve">1. Objet et périmètre</w:t>
      </w:r>
    </w:p>
    <w:p>
      <w:pPr>
        <w:spacing w:after="120" w:line="276"/>
      </w:pPr>
      <w:r>
        <w:rPr>
          <w:sz w:val="21"/>
          <w:szCs w:val="21"/>
        </w:rPr>
        <w:t xml:space="preserve">Ce document décrit les mesures de sécurité mises en œuvre sur l'ensemble des composants de la plateforme CESIZen, ainsi que les risques résiduels identifiés. Il couvre les </w:t>
      </w:r>
      <w:r>
        <w:rPr>
          <w:b/>
          <w:bCs/>
          <w:sz w:val="21"/>
          <w:szCs w:val="21"/>
        </w:rPr>
        <w:t xml:space="preserve">trois applications</w:t>
      </w:r>
      <w:r>
        <w:rPr>
          <w:sz w:val="21"/>
          <w:szCs w:val="21"/>
        </w:rPr>
        <w:t xml:space="preserve"> : API REST (Spring Boot 4 / Java 21), front web (Next.js 16 sur Vercel) et application mobile (Flutter).</w:t>
      </w:r>
    </w:p>
    <w:p>
      <w:pPr>
        <w:spacing w:after="120" w:line="276"/>
      </w:pPr>
      <w:r>
        <w:rPr>
          <w:sz w:val="21"/>
          <w:szCs w:val="21"/>
        </w:rPr>
        <w:t xml:space="preserve">La démarche suit le référentiel </w:t>
      </w:r>
      <w:r>
        <w:rPr>
          <w:b/>
          <w:bCs/>
          <w:sz w:val="21"/>
          <w:szCs w:val="21"/>
        </w:rPr>
        <w:t xml:space="preserve">OWASP Top 10 (2021)</w:t>
      </w:r>
      <w:r>
        <w:rPr>
          <w:sz w:val="21"/>
          <w:szCs w:val="21"/>
        </w:rPr>
        <w:t xml:space="preserve"> et applique le principe de </w:t>
      </w:r>
      <w:r>
        <w:rPr>
          <w:b/>
          <w:bCs/>
          <w:sz w:val="21"/>
          <w:szCs w:val="21"/>
        </w:rPr>
        <w:t xml:space="preserve">sécurité par conception</w:t>
      </w:r>
      <w:r>
        <w:rPr>
          <w:sz w:val="21"/>
          <w:szCs w:val="21"/>
        </w:rPr>
        <w:t xml:space="preserve"> : blocage par défaut, ouverture explicite du strict nécessaire.</w:t>
      </w:r>
    </w:p>
    <w:p>
      <w:pPr>
        <w:pStyle w:val="Heading1"/>
        <w:spacing w:after="160" w:before="320"/>
      </w:pPr>
      <w:r>
        <w:rPr>
          <w:b/>
          <w:bCs/>
          <w:color w:val="2C5F4A"/>
          <w:sz w:val="30"/>
          <w:szCs w:val="30"/>
        </w:rPr>
        <w:t xml:space="preserve">2. Architecture et flux de données (DFD)</w:t>
      </w:r>
    </w:p>
    <w:p>
      <w:pPr>
        <w:spacing w:after="120" w:line="276"/>
      </w:pPr>
      <w:r>
        <w:rPr>
          <w:sz w:val="21"/>
          <w:szCs w:val="21"/>
        </w:rPr>
        <w:t xml:space="preserve">Le schéma ci-dessous représente les flux de données entre les clients, le point d'entrée public et les services internes.</w:t>
      </w:r>
    </w:p>
    <w:p>
      <w:pPr>
        <w:spacing w:after="140" w:before="100"/>
        <w:jc w:val="center"/>
      </w:pPr>
      <w:r>
        <w:drawing>
          <wp:inline distT="0" distB="0" distL="0" distR="0">
            <wp:extent cx="5334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Frontières de confiance. </w:t>
      </w:r>
      <w:r>
        <w:rPr>
          <w:sz w:val="21"/>
          <w:szCs w:val="21"/>
        </w:rPr>
        <w:t xml:space="preserve">Tout ce qui vient du client est non fiable : validation systématique côté API. Nginx est la seule surface exposée à Internet ; l'API et MySQL ne sont joignables que depuis le réseau Docker interne.</w:t>
      </w:r>
    </w:p>
    <w:p>
      <w:pPr>
        <w:pageBreakBefore/>
      </w:pPr>
    </w:p>
    <w:p>
      <w:pPr>
        <w:pStyle w:val="Heading1"/>
        <w:spacing w:after="160" w:before="320"/>
      </w:pPr>
      <w:r>
        <w:rPr>
          <w:b/>
          <w:bCs/>
          <w:color w:val="2C5F4A"/>
          <w:sz w:val="30"/>
          <w:szCs w:val="30"/>
        </w:rPr>
        <w:t xml:space="preserve">3. Couverture OWASP Top 10 (2021)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400"/>
        <w:gridCol w:w="6106"/>
      </w:tblGrid>
      <w:tr>
        <w:trPr>
          <w:tblHeader/>
        </w:trPr>
        <w:tc>
          <w:tcPr>
            <w:tcW w:type="dxa" w:w="52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4B6B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4B6B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Catégorie</w:t>
            </w:r>
          </w:p>
        </w:tc>
        <w:tc>
          <w:tcPr>
            <w:tcW w:type="dxa" w:w="610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4B6B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Mesures mises en place</w:t>
            </w:r>
          </w:p>
        </w:tc>
      </w:tr>
      <w:tr>
        <w:tc>
          <w:tcPr>
            <w:tcW w:type="dxa" w:w="52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A01</w:t>
            </w:r>
          </w:p>
        </w:tc>
        <w:tc>
          <w:tcPr>
            <w:tcW w:type="dxa" w:w="24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Broken Access Control</w:t>
            </w:r>
          </w:p>
        </w:tc>
        <w:tc>
          <w:tcPr>
            <w:tcW w:type="dxa" w:w="610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JWT obligatoire hors routes publiques ; @PreAuthorize par rôle ; comptes désactivables.</w:t>
            </w:r>
          </w:p>
        </w:tc>
      </w:tr>
      <w:tr>
        <w:tc>
          <w:tcPr>
            <w:tcW w:type="dxa" w:w="52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A02</w:t>
            </w:r>
          </w:p>
        </w:tc>
        <w:tc>
          <w:tcPr>
            <w:tcW w:type="dxa" w:w="24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Cryptographic Failures</w:t>
            </w:r>
          </w:p>
        </w:tc>
        <w:tc>
          <w:tcPr>
            <w:tcW w:type="dxa" w:w="610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BCrypt (force 10) ; JWT signé HMAC-SHA256, secret en variable d'environnement ; HTTPS + HSTS.</w:t>
            </w:r>
          </w:p>
        </w:tc>
      </w:tr>
      <w:tr>
        <w:tc>
          <w:tcPr>
            <w:tcW w:type="dxa" w:w="52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A03</w:t>
            </w:r>
          </w:p>
        </w:tc>
        <w:tc>
          <w:tcPr>
            <w:tcW w:type="dxa" w:w="24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Injection</w:t>
            </w:r>
          </w:p>
        </w:tc>
        <w:tc>
          <w:tcPr>
            <w:tcW w:type="dxa" w:w="610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Spring Data JPA (requêtes paramétrées) ; validation Jakarta @Valid sur tous les DTO.</w:t>
            </w:r>
          </w:p>
        </w:tc>
      </w:tr>
      <w:tr>
        <w:tc>
          <w:tcPr>
            <w:tcW w:type="dxa" w:w="52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A04</w:t>
            </w:r>
          </w:p>
        </w:tc>
        <w:tc>
          <w:tcPr>
            <w:tcW w:type="dxa" w:w="24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Insecure Design</w:t>
            </w:r>
          </w:p>
        </w:tc>
        <w:tc>
          <w:tcPr>
            <w:tcW w:type="dxa" w:w="610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Moindre privilège (user MySQL dédié) ; API stateless ; réponse neutre sur mot de passe oublié.</w:t>
            </w:r>
          </w:p>
        </w:tc>
      </w:tr>
      <w:tr>
        <w:tc>
          <w:tcPr>
            <w:tcW w:type="dxa" w:w="52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A05</w:t>
            </w:r>
          </w:p>
        </w:tc>
        <w:tc>
          <w:tcPr>
            <w:tcW w:type="dxa" w:w="24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Security Misconfiguration</w:t>
            </w:r>
          </w:p>
        </w:tc>
        <w:tc>
          <w:tcPr>
            <w:tcW w:type="dxa" w:w="610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CSRF désactivé (REST stateless) ; Swagger désactivé en prod ; en-têtes HTTP de sécurité.</w:t>
            </w:r>
          </w:p>
        </w:tc>
      </w:tr>
      <w:tr>
        <w:tc>
          <w:tcPr>
            <w:tcW w:type="dxa" w:w="52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A06</w:t>
            </w:r>
          </w:p>
        </w:tc>
        <w:tc>
          <w:tcPr>
            <w:tcW w:type="dxa" w:w="24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Vulnerable Components</w:t>
            </w:r>
          </w:p>
        </w:tc>
        <w:tc>
          <w:tcPr>
            <w:tcW w:type="dxa" w:w="610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Dependabot (3 écosystèmes) ; Trivy à chaque CI ; CVE Jackson, Tomcat et Next.js corrigées.</w:t>
            </w:r>
          </w:p>
        </w:tc>
      </w:tr>
      <w:tr>
        <w:tc>
          <w:tcPr>
            <w:tcW w:type="dxa" w:w="52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A07</w:t>
            </w:r>
          </w:p>
        </w:tc>
        <w:tc>
          <w:tcPr>
            <w:tcW w:type="dxa" w:w="24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Auth Failures</w:t>
            </w:r>
          </w:p>
        </w:tc>
        <w:tc>
          <w:tcPr>
            <w:tcW w:type="dxa" w:w="610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Rate limiting bucket4j ; tokens de reset à usage unique ; journalisation des connexions.</w:t>
            </w:r>
          </w:p>
        </w:tc>
      </w:tr>
      <w:tr>
        <w:tc>
          <w:tcPr>
            <w:tcW w:type="dxa" w:w="52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A08</w:t>
            </w:r>
          </w:p>
        </w:tc>
        <w:tc>
          <w:tcPr>
            <w:tcW w:type="dxa" w:w="24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Software/Data Integrity</w:t>
            </w:r>
          </w:p>
        </w:tc>
        <w:tc>
          <w:tcPr>
            <w:tcW w:type="dxa" w:w="610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CI avec Gitleaks + Trivy ; images Docker sur GHCR ; Dependabot sur les actions GitHub.</w:t>
            </w:r>
          </w:p>
        </w:tc>
      </w:tr>
      <w:tr>
        <w:tc>
          <w:tcPr>
            <w:tcW w:type="dxa" w:w="52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A09</w:t>
            </w:r>
          </w:p>
        </w:tc>
        <w:tc>
          <w:tcPr>
            <w:tcW w:type="dxa" w:w="24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Logging &amp; Monitoring</w:t>
            </w:r>
          </w:p>
        </w:tc>
        <w:tc>
          <w:tcPr>
            <w:tcW w:type="dxa" w:w="610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log_connexion, log_activite (audit AOP) ; Prometheus + Grafana + Loki.</w:t>
            </w:r>
          </w:p>
        </w:tc>
      </w:tr>
      <w:tr>
        <w:tc>
          <w:tcPr>
            <w:tcW w:type="dxa" w:w="52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A10</w:t>
            </w:r>
          </w:p>
        </w:tc>
        <w:tc>
          <w:tcPr>
            <w:tcW w:type="dxa" w:w="24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SSRF</w:t>
            </w:r>
          </w:p>
        </w:tc>
        <w:tc>
          <w:tcPr>
            <w:tcW w:type="dxa" w:w="610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Aucun endpoint n'appelle une URL fournie par l'utilisateur ; SMTP configuré statiquement.</w:t>
            </w:r>
          </w:p>
        </w:tc>
      </w:tr>
    </w:tbl>
    <w:p>
      <w:pPr>
        <w:pageBreakBefore/>
      </w:pPr>
    </w:p>
    <w:p>
      <w:pPr>
        <w:pStyle w:val="Heading1"/>
        <w:spacing w:after="160" w:before="320"/>
      </w:pPr>
      <w:r>
        <w:rPr>
          <w:b/>
          <w:bCs/>
          <w:color w:val="2C5F4A"/>
          <w:sz w:val="30"/>
          <w:szCs w:val="30"/>
        </w:rPr>
        <w:t xml:space="preserve">4. Modélisation des menaces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Méthode de cotation. </w:t>
      </w:r>
      <w:r>
        <w:rPr>
          <w:sz w:val="21"/>
          <w:szCs w:val="21"/>
        </w:rPr>
        <w:t xml:space="preserve">Chaque menace est cotée sur deux axes — la </w:t>
      </w:r>
      <w:r>
        <w:rPr>
          <w:b/>
          <w:bCs/>
          <w:sz w:val="21"/>
          <w:szCs w:val="21"/>
        </w:rPr>
        <w:t xml:space="preserve">probabilité</w:t>
      </w:r>
      <w:r>
        <w:rPr>
          <w:sz w:val="21"/>
          <w:szCs w:val="21"/>
        </w:rPr>
        <w:t xml:space="preserve"> (Faible = 1, Moyenne = 2, Élevée = 3) et l'</w:t>
      </w:r>
      <w:r>
        <w:rPr>
          <w:b/>
          <w:bCs/>
          <w:sz w:val="21"/>
          <w:szCs w:val="21"/>
        </w:rPr>
        <w:t xml:space="preserve">impact</w:t>
      </w:r>
      <w:r>
        <w:rPr>
          <w:sz w:val="21"/>
          <w:szCs w:val="21"/>
        </w:rPr>
        <w:t xml:space="preserve"> (Faible = 1, Moyen = 2, Élevé = 3, Critique = 4). La </w:t>
      </w:r>
      <w:r>
        <w:rPr>
          <w:b/>
          <w:bCs/>
          <w:sz w:val="21"/>
          <w:szCs w:val="21"/>
        </w:rPr>
        <w:t xml:space="preserve">criticité</w:t>
      </w:r>
      <w:r>
        <w:rPr>
          <w:sz w:val="21"/>
          <w:szCs w:val="21"/>
        </w:rPr>
        <w:t xml:space="preserve"> est le produit des deux (Probabilité × Impact), puis classée selon la matrice ci-dessous. Elle détermine l'ordre de priorité des actions correctives.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Matrice de criticité (Probabilité × Impact).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6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4B6B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Prob. \ Impact</w:t>
            </w:r>
          </w:p>
        </w:tc>
        <w:tc>
          <w:tcPr>
            <w:tcW w:type="dxa" w:w="18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4B6B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Faible (1)</w:t>
            </w:r>
          </w:p>
        </w:tc>
        <w:tc>
          <w:tcPr>
            <w:tcW w:type="dxa" w:w="18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4B6B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Moyen (2)</w:t>
            </w:r>
          </w:p>
        </w:tc>
        <w:tc>
          <w:tcPr>
            <w:tcW w:type="dxa" w:w="18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4B6B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Élevé (3)</w:t>
            </w:r>
          </w:p>
        </w:tc>
        <w:tc>
          <w:tcPr>
            <w:tcW w:type="dxa" w:w="18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4B6B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Critique (4)</w:t>
            </w:r>
          </w:p>
        </w:tc>
      </w:tr>
      <w:tr>
        <w:tc>
          <w:tcPr>
            <w:tcW w:type="dxa" w:w="18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Élevée (3)</w:t>
            </w:r>
          </w:p>
        </w:tc>
        <w:tc>
          <w:tcPr>
            <w:tcW w:type="dxa" w:w="18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Moyenne (3)</w:t>
            </w:r>
          </w:p>
        </w:tc>
        <w:tc>
          <w:tcPr>
            <w:tcW w:type="dxa" w:w="18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Élevée (6)</w:t>
            </w:r>
          </w:p>
        </w:tc>
        <w:tc>
          <w:tcPr>
            <w:tcW w:type="dxa" w:w="18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Critique (9)</w:t>
            </w:r>
          </w:p>
        </w:tc>
        <w:tc>
          <w:tcPr>
            <w:tcW w:type="dxa" w:w="18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Critique (12)</w:t>
            </w:r>
          </w:p>
        </w:tc>
      </w:tr>
      <w:tr>
        <w:tc>
          <w:tcPr>
            <w:tcW w:type="dxa" w:w="18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Moyenne (2)</w:t>
            </w:r>
          </w:p>
        </w:tc>
        <w:tc>
          <w:tcPr>
            <w:tcW w:type="dxa" w:w="18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Faible (2)</w:t>
            </w:r>
          </w:p>
        </w:tc>
        <w:tc>
          <w:tcPr>
            <w:tcW w:type="dxa" w:w="18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Moyenne (4)</w:t>
            </w:r>
          </w:p>
        </w:tc>
        <w:tc>
          <w:tcPr>
            <w:tcW w:type="dxa" w:w="18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Élevée (6)</w:t>
            </w:r>
          </w:p>
        </w:tc>
        <w:tc>
          <w:tcPr>
            <w:tcW w:type="dxa" w:w="18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Élevée (8)</w:t>
            </w:r>
          </w:p>
        </w:tc>
      </w:tr>
      <w:tr>
        <w:tc>
          <w:tcPr>
            <w:tcW w:type="dxa" w:w="18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Faible (1)</w:t>
            </w:r>
          </w:p>
        </w:tc>
        <w:tc>
          <w:tcPr>
            <w:tcW w:type="dxa" w:w="18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Faible (1)</w:t>
            </w:r>
          </w:p>
        </w:tc>
        <w:tc>
          <w:tcPr>
            <w:tcW w:type="dxa" w:w="18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Faible (2)</w:t>
            </w:r>
          </w:p>
        </w:tc>
        <w:tc>
          <w:tcPr>
            <w:tcW w:type="dxa" w:w="18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Moyenne (3)</w:t>
            </w:r>
          </w:p>
        </w:tc>
        <w:tc>
          <w:tcPr>
            <w:tcW w:type="dxa" w:w="18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Moyenne (4)</w:t>
            </w:r>
          </w:p>
        </w:tc>
      </w:tr>
    </w:tbl>
    <w:p>
      <w:pPr>
        <w:spacing w:after="120" w:line="276"/>
      </w:pPr>
      <w:r>
        <w:rPr>
          <w:b/>
          <w:bCs/>
          <w:sz w:val="21"/>
          <w:szCs w:val="21"/>
        </w:rPr>
        <w:t xml:space="preserve">Seuils : </w:t>
      </w:r>
      <w:r>
        <w:rPr>
          <w:sz w:val="21"/>
          <w:szCs w:val="21"/>
        </w:rPr>
        <w:t xml:space="preserve">Faible = 1-2 · Moyenne = 3-4 · Élevée = 5-8 · Critique = 9-12.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Analyse des menaces principales. </w:t>
      </w:r>
      <w:r>
        <w:rPr>
          <w:sz w:val="21"/>
          <w:szCs w:val="21"/>
        </w:rPr>
        <w:t xml:space="preserve">Criticité calculée et mesure d'atténuation en place pour chacune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1550"/>
        <w:gridCol w:w="750"/>
        <w:gridCol w:w="800"/>
        <w:gridCol w:w="1050"/>
        <w:gridCol w:w="3326"/>
      </w:tblGrid>
      <w:tr>
        <w:trPr>
          <w:tblHeader/>
        </w:trPr>
        <w:tc>
          <w:tcPr>
            <w:tcW w:type="dxa" w:w="155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4B6B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Menace</w:t>
            </w:r>
          </w:p>
        </w:tc>
        <w:tc>
          <w:tcPr>
            <w:tcW w:type="dxa" w:w="155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4B6B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Surface</w:t>
            </w:r>
          </w:p>
        </w:tc>
        <w:tc>
          <w:tcPr>
            <w:tcW w:type="dxa" w:w="75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4B6B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Prob.</w:t>
            </w:r>
          </w:p>
        </w:tc>
        <w:tc>
          <w:tcPr>
            <w:tcW w:type="dxa" w:w="8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4B6B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105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4B6B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Criticité</w:t>
            </w:r>
          </w:p>
        </w:tc>
        <w:tc>
          <w:tcPr>
            <w:tcW w:type="dxa" w:w="33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4B6B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155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Brute-force sur le login</w:t>
            </w:r>
          </w:p>
        </w:tc>
        <w:tc>
          <w:tcPr>
            <w:tcW w:type="dxa" w:w="155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 /api/auth/login</w:t>
            </w:r>
          </w:p>
        </w:tc>
        <w:tc>
          <w:tcPr>
            <w:tcW w:type="dxa" w:w="75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Moyenne</w:t>
            </w:r>
          </w:p>
        </w:tc>
        <w:tc>
          <w:tcPr>
            <w:tcW w:type="dxa" w:w="8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Élevé</w:t>
            </w:r>
          </w:p>
        </w:tc>
        <w:tc>
          <w:tcPr>
            <w:tcW w:type="dxa" w:w="105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Élevée (6)</w:t>
            </w:r>
          </w:p>
        </w:tc>
        <w:tc>
          <w:tcPr>
            <w:tcW w:type="dxa" w:w="33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Rate limiting 5/min/IP → 429 ; journalisation des échecs</w:t>
            </w:r>
          </w:p>
        </w:tc>
      </w:tr>
      <w:tr>
        <w:tc>
          <w:tcPr>
            <w:tcW w:type="dxa" w:w="155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Énumération de comptes</w:t>
            </w:r>
          </w:p>
        </w:tc>
        <w:tc>
          <w:tcPr>
            <w:tcW w:type="dxa" w:w="155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 /forgot-password</w:t>
            </w:r>
          </w:p>
        </w:tc>
        <w:tc>
          <w:tcPr>
            <w:tcW w:type="dxa" w:w="75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Moyenne</w:t>
            </w:r>
          </w:p>
        </w:tc>
        <w:tc>
          <w:tcPr>
            <w:tcW w:type="dxa" w:w="8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Moyen</w:t>
            </w:r>
          </w:p>
        </w:tc>
        <w:tc>
          <w:tcPr>
            <w:tcW w:type="dxa" w:w="105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Moyenne (4)</w:t>
            </w:r>
          </w:p>
        </w:tc>
        <w:tc>
          <w:tcPr>
            <w:tcW w:type="dxa" w:w="33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Réponse 200 systématique ; rate limiting 3/10 min</w:t>
            </w:r>
          </w:p>
        </w:tc>
      </w:tr>
      <w:tr>
        <w:tc>
          <w:tcPr>
            <w:tcW w:type="dxa" w:w="155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 de token JWT</w:t>
            </w:r>
          </w:p>
        </w:tc>
        <w:tc>
          <w:tcPr>
            <w:tcW w:type="dxa" w:w="155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En-tête Authorization</w:t>
            </w:r>
          </w:p>
        </w:tc>
        <w:tc>
          <w:tcPr>
            <w:tcW w:type="dxa" w:w="75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Faible</w:t>
            </w:r>
          </w:p>
        </w:tc>
        <w:tc>
          <w:tcPr>
            <w:tcW w:type="dxa" w:w="8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Élevé</w:t>
            </w:r>
          </w:p>
        </w:tc>
        <w:tc>
          <w:tcPr>
            <w:tcW w:type="dxa" w:w="105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Moyenne (3)</w:t>
            </w:r>
          </w:p>
        </w:tc>
        <w:tc>
          <w:tcPr>
            <w:tcW w:type="dxa" w:w="33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HTTPS + HSTS ; expiration ; rotation du secret</w:t>
            </w:r>
          </w:p>
        </w:tc>
      </w:tr>
      <w:tr>
        <w:tc>
          <w:tcPr>
            <w:tcW w:type="dxa" w:w="155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Injection SQL</w:t>
            </w:r>
          </w:p>
        </w:tc>
        <w:tc>
          <w:tcPr>
            <w:tcW w:type="dxa" w:w="155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Tous endpoints</w:t>
            </w:r>
          </w:p>
        </w:tc>
        <w:tc>
          <w:tcPr>
            <w:tcW w:type="dxa" w:w="75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Faible</w:t>
            </w:r>
          </w:p>
        </w:tc>
        <w:tc>
          <w:tcPr>
            <w:tcW w:type="dxa" w:w="8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Critique</w:t>
            </w:r>
          </w:p>
        </w:tc>
        <w:tc>
          <w:tcPr>
            <w:tcW w:type="dxa" w:w="105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Moyenne (4)</w:t>
            </w:r>
          </w:p>
        </w:tc>
        <w:tc>
          <w:tcPr>
            <w:tcW w:type="dxa" w:w="33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JPA paramétré ; user BDD sans droits DDL</w:t>
            </w:r>
          </w:p>
        </w:tc>
      </w:tr>
      <w:tr>
        <w:tc>
          <w:tcPr>
            <w:tcW w:type="dxa" w:w="155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IDOR</w:t>
            </w:r>
          </w:p>
        </w:tc>
        <w:tc>
          <w:tcPr>
            <w:tcW w:type="dxa" w:w="155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/api/user/{id}</w:t>
            </w:r>
          </w:p>
        </w:tc>
        <w:tc>
          <w:tcPr>
            <w:tcW w:type="dxa" w:w="75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Moyenne</w:t>
            </w:r>
          </w:p>
        </w:tc>
        <w:tc>
          <w:tcPr>
            <w:tcW w:type="dxa" w:w="8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Élevé</w:t>
            </w:r>
          </w:p>
        </w:tc>
        <w:tc>
          <w:tcPr>
            <w:tcW w:type="dxa" w:w="105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Élevée (6)</w:t>
            </w:r>
          </w:p>
        </w:tc>
        <w:tc>
          <w:tcPr>
            <w:tcW w:type="dxa" w:w="33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@PreAuthorize ; vérification de propriété</w:t>
            </w:r>
          </w:p>
        </w:tc>
      </w:tr>
      <w:tr>
        <w:tc>
          <w:tcPr>
            <w:tcW w:type="dxa" w:w="155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XSS stocké</w:t>
            </w:r>
          </w:p>
        </w:tc>
        <w:tc>
          <w:tcPr>
            <w:tcW w:type="dxa" w:w="155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Front web</w:t>
            </w:r>
          </w:p>
        </w:tc>
        <w:tc>
          <w:tcPr>
            <w:tcW w:type="dxa" w:w="75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Faible</w:t>
            </w:r>
          </w:p>
        </w:tc>
        <w:tc>
          <w:tcPr>
            <w:tcW w:type="dxa" w:w="8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Moyen</w:t>
            </w:r>
          </w:p>
        </w:tc>
        <w:tc>
          <w:tcPr>
            <w:tcW w:type="dxa" w:w="105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Faible (2)</w:t>
            </w:r>
          </w:p>
        </w:tc>
        <w:tc>
          <w:tcPr>
            <w:tcW w:type="dxa" w:w="33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React échappe par défaut ; CSP</w:t>
            </w:r>
          </w:p>
        </w:tc>
      </w:tr>
      <w:tr>
        <w:tc>
          <w:tcPr>
            <w:tcW w:type="dxa" w:w="155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Clickjacking</w:t>
            </w:r>
          </w:p>
        </w:tc>
        <w:tc>
          <w:tcPr>
            <w:tcW w:type="dxa" w:w="155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Front web</w:t>
            </w:r>
          </w:p>
        </w:tc>
        <w:tc>
          <w:tcPr>
            <w:tcW w:type="dxa" w:w="75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Faible</w:t>
            </w:r>
          </w:p>
        </w:tc>
        <w:tc>
          <w:tcPr>
            <w:tcW w:type="dxa" w:w="8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Faible</w:t>
            </w:r>
          </w:p>
        </w:tc>
        <w:tc>
          <w:tcPr>
            <w:tcW w:type="dxa" w:w="105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Faible (1)</w:t>
            </w:r>
          </w:p>
        </w:tc>
        <w:tc>
          <w:tcPr>
            <w:tcW w:type="dxa" w:w="33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X-Frame-Options: DENY ; frame-ancestors 'none'</w:t>
            </w:r>
          </w:p>
        </w:tc>
      </w:tr>
      <w:tr>
        <w:tc>
          <w:tcPr>
            <w:tcW w:type="dxa" w:w="155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Fuite de secret</w:t>
            </w:r>
          </w:p>
        </w:tc>
        <w:tc>
          <w:tcPr>
            <w:tcW w:type="dxa" w:w="155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Historique git</w:t>
            </w:r>
          </w:p>
        </w:tc>
        <w:tc>
          <w:tcPr>
            <w:tcW w:type="dxa" w:w="75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Moyenne</w:t>
            </w:r>
          </w:p>
        </w:tc>
        <w:tc>
          <w:tcPr>
            <w:tcW w:type="dxa" w:w="8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Critique</w:t>
            </w:r>
          </w:p>
        </w:tc>
        <w:tc>
          <w:tcPr>
            <w:tcW w:type="dxa" w:w="105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Élevée (8)</w:t>
            </w:r>
          </w:p>
        </w:tc>
        <w:tc>
          <w:tcPr>
            <w:tcW w:type="dxa" w:w="33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Gitleaks + hook pre-commit ; secrets en variables d'env</w:t>
            </w:r>
          </w:p>
        </w:tc>
      </w:tr>
      <w:tr>
        <w:tc>
          <w:tcPr>
            <w:tcW w:type="dxa" w:w="155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Dépendance vulnérable</w:t>
            </w:r>
          </w:p>
        </w:tc>
        <w:tc>
          <w:tcPr>
            <w:tcW w:type="dxa" w:w="155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Toutes les apps</w:t>
            </w:r>
          </w:p>
        </w:tc>
        <w:tc>
          <w:tcPr>
            <w:tcW w:type="dxa" w:w="75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Élevée</w:t>
            </w:r>
          </w:p>
        </w:tc>
        <w:tc>
          <w:tcPr>
            <w:tcW w:type="dxa" w:w="8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Élevé</w:t>
            </w:r>
          </w:p>
        </w:tc>
        <w:tc>
          <w:tcPr>
            <w:tcW w:type="dxa" w:w="105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Critique (9)</w:t>
            </w:r>
          </w:p>
        </w:tc>
        <w:tc>
          <w:tcPr>
            <w:tcW w:type="dxa" w:w="33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Trivy bloquant ; Dependabot ; OWASP Dependency Check</w:t>
            </w:r>
          </w:p>
        </w:tc>
      </w:tr>
      <w:tr>
        <w:tc>
          <w:tcPr>
            <w:tcW w:type="dxa" w:w="155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Exposition service d'admin</w:t>
            </w:r>
          </w:p>
        </w:tc>
        <w:tc>
          <w:tcPr>
            <w:tcW w:type="dxa" w:w="155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phpMyAdmin, Grafana</w:t>
            </w:r>
          </w:p>
        </w:tc>
        <w:tc>
          <w:tcPr>
            <w:tcW w:type="dxa" w:w="75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Moyenne</w:t>
            </w:r>
          </w:p>
        </w:tc>
        <w:tc>
          <w:tcPr>
            <w:tcW w:type="dxa" w:w="8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Élevé</w:t>
            </w:r>
          </w:p>
        </w:tc>
        <w:tc>
          <w:tcPr>
            <w:tcW w:type="dxa" w:w="105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Élevée (6)</w:t>
            </w:r>
          </w:p>
        </w:tc>
        <w:tc>
          <w:tcPr>
            <w:tcW w:type="dxa" w:w="33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Non déployés en production</w:t>
            </w:r>
          </w:p>
        </w:tc>
      </w:tr>
    </w:tbl>
    <w:p>
      <w:pPr>
        <w:spacing w:after="120" w:line="276"/>
      </w:pPr>
      <w:r>
        <w:rPr>
          <w:b/>
          <w:bCs/>
          <w:sz w:val="21"/>
          <w:szCs w:val="21"/>
        </w:rPr>
        <w:t xml:space="preserve">Priorisation. </w:t>
      </w:r>
      <w:r>
        <w:rPr>
          <w:sz w:val="21"/>
          <w:szCs w:val="21"/>
        </w:rPr>
        <w:t xml:space="preserve">La menace la plus critique — dépendance vulnérable (9) — justifie le scan bloquant Trivy et Dependabot ; les fuites de secret (8) et les accès non autorisés (brute-force, IDOR, admin, à 6) sont traités en priorité. Les risques faibles (XSS, clickjacking) sont couverts par des mesures standard sans effort dédié.</w:t>
      </w:r>
    </w:p>
    <w:p>
      <w:pPr>
        <w:pageBreakBefore/>
      </w:pPr>
    </w:p>
    <w:p>
      <w:pPr>
        <w:pStyle w:val="Heading1"/>
        <w:spacing w:after="160" w:before="320"/>
      </w:pPr>
      <w:r>
        <w:rPr>
          <w:b/>
          <w:bCs/>
          <w:color w:val="2C5F4A"/>
          <w:sz w:val="30"/>
          <w:szCs w:val="30"/>
        </w:rPr>
        <w:t xml:space="preserve">5. Surface d'exposition — gestion des ports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Principe : n'exposer que l'indispensable. </w:t>
      </w:r>
      <w:r>
        <w:rPr>
          <w:sz w:val="21"/>
          <w:szCs w:val="21"/>
        </w:rPr>
        <w:t xml:space="preserve">Un seul port public en production.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400"/>
        <w:gridCol w:w="1700"/>
        <w:gridCol w:w="2626"/>
      </w:tblGrid>
      <w:tr>
        <w:trPr>
          <w:tblHeader/>
        </w:trPr>
        <w:tc>
          <w:tcPr>
            <w:tcW w:type="dxa" w:w="20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4B6B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13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4B6B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14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4B6B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Dev</w:t>
            </w:r>
          </w:p>
        </w:tc>
        <w:tc>
          <w:tcPr>
            <w:tcW w:type="dxa" w:w="17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4B6B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</w:t>
            </w:r>
          </w:p>
        </w:tc>
        <w:tc>
          <w:tcPr>
            <w:tcW w:type="dxa" w:w="26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4B6B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Accessible par</w:t>
            </w:r>
          </w:p>
        </w:tc>
      </w:tr>
      <w:tr>
        <w:tc>
          <w:tcPr>
            <w:tcW w:type="dxa" w:w="20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Nginx</w:t>
            </w:r>
          </w:p>
        </w:tc>
        <w:tc>
          <w:tcPr>
            <w:tcW w:type="dxa" w:w="13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80 / 443</w:t>
            </w:r>
          </w:p>
        </w:tc>
        <w:tc>
          <w:tcPr>
            <w:tcW w:type="dxa" w:w="14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8080→80</w:t>
            </w:r>
          </w:p>
        </w:tc>
        <w:tc>
          <w:tcPr>
            <w:tcW w:type="dxa" w:w="17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Oui</w:t>
            </w:r>
          </w:p>
        </w:tc>
        <w:tc>
          <w:tcPr>
            <w:tcW w:type="dxa" w:w="26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Public — seul point d'entrée</w:t>
            </w:r>
          </w:p>
        </w:tc>
      </w:tr>
      <w:tr>
        <w:tc>
          <w:tcPr>
            <w:tcW w:type="dxa" w:w="20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 Spring Boot</w:t>
            </w:r>
          </w:p>
        </w:tc>
        <w:tc>
          <w:tcPr>
            <w:tcW w:type="dxa" w:w="13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8080</w:t>
            </w:r>
          </w:p>
        </w:tc>
        <w:tc>
          <w:tcPr>
            <w:tcW w:type="dxa" w:w="14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interne</w:t>
            </w:r>
          </w:p>
        </w:tc>
        <w:tc>
          <w:tcPr>
            <w:tcW w:type="dxa" w:w="17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interne</w:t>
            </w:r>
          </w:p>
        </w:tc>
        <w:tc>
          <w:tcPr>
            <w:tcW w:type="dxa" w:w="26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Nginx uniquement</w:t>
            </w:r>
          </w:p>
        </w:tc>
      </w:tr>
      <w:tr>
        <w:tc>
          <w:tcPr>
            <w:tcW w:type="dxa" w:w="20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MySQL</w:t>
            </w:r>
          </w:p>
        </w:tc>
        <w:tc>
          <w:tcPr>
            <w:tcW w:type="dxa" w:w="13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3306</w:t>
            </w:r>
          </w:p>
        </w:tc>
        <w:tc>
          <w:tcPr>
            <w:tcW w:type="dxa" w:w="14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exposé</w:t>
            </w:r>
          </w:p>
        </w:tc>
        <w:tc>
          <w:tcPr>
            <w:tcW w:type="dxa" w:w="17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NON (ports: !reset [])</w:t>
            </w:r>
          </w:p>
        </w:tc>
        <w:tc>
          <w:tcPr>
            <w:tcW w:type="dxa" w:w="26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 uniquement</w:t>
            </w:r>
          </w:p>
        </w:tc>
      </w:tr>
      <w:tr>
        <w:tc>
          <w:tcPr>
            <w:tcW w:type="dxa" w:w="20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phpMyAdmin</w:t>
            </w:r>
          </w:p>
        </w:tc>
        <w:tc>
          <w:tcPr>
            <w:tcW w:type="dxa" w:w="13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8082</w:t>
            </w:r>
          </w:p>
        </w:tc>
        <w:tc>
          <w:tcPr>
            <w:tcW w:type="dxa" w:w="14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exposé</w:t>
            </w:r>
          </w:p>
        </w:tc>
        <w:tc>
          <w:tcPr>
            <w:tcW w:type="dxa" w:w="17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absent</w:t>
            </w:r>
          </w:p>
        </w:tc>
        <w:tc>
          <w:tcPr>
            <w:tcW w:type="dxa" w:w="26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 local</w:t>
            </w:r>
          </w:p>
        </w:tc>
      </w:tr>
      <w:tr>
        <w:tc>
          <w:tcPr>
            <w:tcW w:type="dxa" w:w="20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Mailhog (SMTP test)</w:t>
            </w:r>
          </w:p>
        </w:tc>
        <w:tc>
          <w:tcPr>
            <w:tcW w:type="dxa" w:w="13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1025 / 8025</w:t>
            </w:r>
          </w:p>
        </w:tc>
        <w:tc>
          <w:tcPr>
            <w:tcW w:type="dxa" w:w="14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exposé</w:t>
            </w:r>
          </w:p>
        </w:tc>
        <w:tc>
          <w:tcPr>
            <w:tcW w:type="dxa" w:w="17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absent</w:t>
            </w:r>
          </w:p>
        </w:tc>
        <w:tc>
          <w:tcPr>
            <w:tcW w:type="dxa" w:w="26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Développement</w:t>
            </w:r>
          </w:p>
        </w:tc>
      </w:tr>
      <w:tr>
        <w:tc>
          <w:tcPr>
            <w:tcW w:type="dxa" w:w="20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Prometheus</w:t>
            </w:r>
          </w:p>
        </w:tc>
        <w:tc>
          <w:tcPr>
            <w:tcW w:type="dxa" w:w="13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9090</w:t>
            </w:r>
          </w:p>
        </w:tc>
        <w:tc>
          <w:tcPr>
            <w:tcW w:type="dxa" w:w="14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stack séparée</w:t>
            </w:r>
          </w:p>
        </w:tc>
        <w:tc>
          <w:tcPr>
            <w:tcW w:type="dxa" w:w="17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interne</w:t>
            </w:r>
          </w:p>
        </w:tc>
        <w:tc>
          <w:tcPr>
            <w:tcW w:type="dxa" w:w="26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Grafana</w:t>
            </w:r>
          </w:p>
        </w:tc>
      </w:tr>
      <w:tr>
        <w:tc>
          <w:tcPr>
            <w:tcW w:type="dxa" w:w="20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Grafana</w:t>
            </w:r>
          </w:p>
        </w:tc>
        <w:tc>
          <w:tcPr>
            <w:tcW w:type="dxa" w:w="13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3001</w:t>
            </w:r>
          </w:p>
        </w:tc>
        <w:tc>
          <w:tcPr>
            <w:tcW w:type="dxa" w:w="14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stack séparée</w:t>
            </w:r>
          </w:p>
        </w:tc>
        <w:tc>
          <w:tcPr>
            <w:tcW w:type="dxa" w:w="17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à protéger</w:t>
            </w:r>
          </w:p>
        </w:tc>
        <w:tc>
          <w:tcPr>
            <w:tcW w:type="dxa" w:w="26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 local</w:t>
            </w:r>
          </w:p>
        </w:tc>
      </w:tr>
      <w:tr>
        <w:tc>
          <w:tcPr>
            <w:tcW w:type="dxa" w:w="20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Loki</w:t>
            </w:r>
          </w:p>
        </w:tc>
        <w:tc>
          <w:tcPr>
            <w:tcW w:type="dxa" w:w="13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3100</w:t>
            </w:r>
          </w:p>
        </w:tc>
        <w:tc>
          <w:tcPr>
            <w:tcW w:type="dxa" w:w="14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stack séparée</w:t>
            </w:r>
          </w:p>
        </w:tc>
        <w:tc>
          <w:tcPr>
            <w:tcW w:type="dxa" w:w="17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interne</w:t>
            </w:r>
          </w:p>
        </w:tc>
        <w:tc>
          <w:tcPr>
            <w:tcW w:type="dxa" w:w="26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Promtail / Grafana</w:t>
            </w:r>
          </w:p>
        </w:tc>
      </w:tr>
    </w:tbl>
    <w:p>
      <w:pPr>
        <w:spacing w:after="120" w:line="276"/>
      </w:pPr>
      <w:r>
        <w:rPr>
          <w:sz w:val="21"/>
          <w:szCs w:val="21"/>
        </w:rPr>
        <w:t xml:space="preserve">En production, </w:t>
      </w:r>
      <w:r>
        <w:rPr>
          <w:rFonts w:ascii="Consolas" w:cs="Consolas" w:eastAsia="Consolas" w:hAnsi="Consolas"/>
          <w:color w:val="2C5F4A"/>
          <w:sz w:val="19"/>
          <w:szCs w:val="19"/>
        </w:rPr>
        <w:t xml:space="preserve">docker-compose.prod.yml</w:t>
      </w:r>
      <w:r>
        <w:rPr>
          <w:sz w:val="21"/>
          <w:szCs w:val="21"/>
        </w:rPr>
        <w:t xml:space="preserve"> supprime explicitement les ports de MySQL et n'inclut ni phpMyAdmin ni Mailhog. Seul Nginx écoute sur l'extérieur.</w:t>
      </w:r>
    </w:p>
    <w:p>
      <w:pPr>
        <w:pStyle w:val="Heading1"/>
        <w:spacing w:after="160" w:before="320"/>
      </w:pPr>
      <w:r>
        <w:rPr>
          <w:b/>
          <w:bCs/>
          <w:color w:val="2C5F4A"/>
          <w:sz w:val="30"/>
          <w:szCs w:val="30"/>
        </w:rPr>
        <w:t xml:space="preserve">6. Droits sur les services et les conteneurs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Conteneur non-root. </w:t>
      </w:r>
      <w:r>
        <w:rPr>
          <w:sz w:val="21"/>
          <w:szCs w:val="21"/>
        </w:rPr>
        <w:t xml:space="preserve">Le Dockerfile de l'API crée un utilisateur système dédié (</w:t>
      </w:r>
      <w:r>
        <w:rPr>
          <w:rFonts w:ascii="Consolas" w:cs="Consolas" w:eastAsia="Consolas" w:hAnsi="Consolas"/>
          <w:color w:val="2C5F4A"/>
          <w:sz w:val="19"/>
          <w:szCs w:val="19"/>
        </w:rPr>
        <w:t xml:space="preserve">adduser -S -G cesizen cesizen</w:t>
      </w:r>
      <w:r>
        <w:rPr>
          <w:sz w:val="21"/>
          <w:szCs w:val="21"/>
        </w:rPr>
        <w:t xml:space="preserve">) et bascule dessus (</w:t>
      </w:r>
      <w:r>
        <w:rPr>
          <w:rFonts w:ascii="Consolas" w:cs="Consolas" w:eastAsia="Consolas" w:hAnsi="Consolas"/>
          <w:color w:val="2C5F4A"/>
          <w:sz w:val="19"/>
          <w:szCs w:val="19"/>
        </w:rPr>
        <w:t xml:space="preserve">USER cesizen</w:t>
      </w:r>
      <w:r>
        <w:rPr>
          <w:sz w:val="21"/>
          <w:szCs w:val="21"/>
        </w:rPr>
        <w:t xml:space="preserve">). Une évasion applicative ne donne pas les droits root dans le conteneur.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Réseau Docker nommé. </w:t>
      </w:r>
      <w:r>
        <w:rPr>
          <w:sz w:val="21"/>
          <w:szCs w:val="21"/>
        </w:rPr>
        <w:t xml:space="preserve">Tous les services partagent un bridge dédié </w:t>
      </w:r>
      <w:r>
        <w:rPr>
          <w:rFonts w:ascii="Consolas" w:cs="Consolas" w:eastAsia="Consolas" w:hAnsi="Consolas"/>
          <w:color w:val="2C5F4A"/>
          <w:sz w:val="19"/>
          <w:szCs w:val="19"/>
        </w:rPr>
        <w:t xml:space="preserve">cesizen-net</w:t>
      </w:r>
      <w:r>
        <w:rPr>
          <w:sz w:val="21"/>
          <w:szCs w:val="21"/>
        </w:rPr>
        <w:t xml:space="preserve">. MySQL et l'API ne sont pas publiés sur l'hôte : seule la résolution DNS interne permet de les joindre.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Utilisateur MySQL à droits minimaux. </w:t>
      </w:r>
      <w:r>
        <w:rPr>
          <w:sz w:val="21"/>
          <w:szCs w:val="21"/>
        </w:rPr>
        <w:t xml:space="preserve">En production, </w:t>
      </w:r>
      <w:r>
        <w:rPr>
          <w:rFonts w:ascii="Consolas" w:cs="Consolas" w:eastAsia="Consolas" w:hAnsi="Consolas"/>
          <w:color w:val="2C5F4A"/>
          <w:sz w:val="19"/>
          <w:szCs w:val="19"/>
        </w:rPr>
        <w:t xml:space="preserve">cesizen_app</w:t>
      </w:r>
      <w:r>
        <w:rPr>
          <w:sz w:val="21"/>
          <w:szCs w:val="21"/>
        </w:rPr>
        <w:t xml:space="preserve"> est privé des droits DDL (</w:t>
      </w:r>
      <w:r>
        <w:rPr>
          <w:rFonts w:ascii="Consolas" w:cs="Consolas" w:eastAsia="Consolas" w:hAnsi="Consolas"/>
          <w:color w:val="2C5F4A"/>
          <w:sz w:val="19"/>
          <w:szCs w:val="19"/>
        </w:rPr>
        <w:t xml:space="preserve">REVOKE CREATE, ALTER, DROP, INDEX, REFERENCES</w:t>
      </w:r>
      <w:r>
        <w:rPr>
          <w:sz w:val="21"/>
          <w:szCs w:val="21"/>
        </w:rPr>
        <w:t xml:space="preserve">) via un script d'init. Ne subsistent que SELECT, INSERT, UPDATE, DELETE. Limite connue : le script ne s'exécute qu'au premier démarrage, sur un volume vide.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Fichiers uploadés. </w:t>
      </w:r>
      <w:r>
        <w:rPr>
          <w:sz w:val="21"/>
          <w:szCs w:val="21"/>
        </w:rPr>
        <w:t xml:space="preserve">Taille limitée à 10 Mo. Le type MIME réel n'est pas vérifié — identifié comme risque résiduel.</w:t>
      </w:r>
    </w:p>
    <w:p>
      <w:pPr>
        <w:pageBreakBefore/>
      </w:pPr>
    </w:p>
    <w:p>
      <w:pPr>
        <w:pStyle w:val="Heading1"/>
        <w:spacing w:after="160" w:before="320"/>
      </w:pPr>
      <w:r>
        <w:rPr>
          <w:b/>
          <w:bCs/>
          <w:color w:val="2C5F4A"/>
          <w:sz w:val="30"/>
          <w:szCs w:val="30"/>
        </w:rPr>
        <w:t xml:space="preserve">7. Analyse statique (SAST) — SonarCloud</w:t>
      </w:r>
    </w:p>
    <w:p>
      <w:pPr>
        <w:spacing w:after="120" w:line="276"/>
      </w:pPr>
      <w:r>
        <w:rPr>
          <w:sz w:val="21"/>
          <w:szCs w:val="21"/>
        </w:rPr>
        <w:t xml:space="preserve">Le dépôt </w:t>
      </w:r>
      <w:r>
        <w:rPr>
          <w:rFonts w:ascii="Consolas" w:cs="Consolas" w:eastAsia="Consolas" w:hAnsi="Consolas"/>
          <w:color w:val="2C5F4A"/>
          <w:sz w:val="19"/>
          <w:szCs w:val="19"/>
        </w:rPr>
        <w:t xml:space="preserve">api_zen</w:t>
      </w:r>
      <w:r>
        <w:rPr>
          <w:sz w:val="21"/>
          <w:szCs w:val="21"/>
        </w:rPr>
        <w:t xml:space="preserve"> est lié à SonarCloud. L'analyse s'exécute dans le pipeline d'intégration continue, après compilation et tests, avec transmission du rapport de couverture JaCoCo. Sonar contrôle bugs, vulnérabilités, code smells et duplication.</w:t>
      </w:r>
    </w:p>
    <w:p>
      <w:pPr>
        <w:spacing w:after="120" w:line="276"/>
      </w:pPr>
      <w:r>
        <w:rPr>
          <w:sz w:val="21"/>
          <w:szCs w:val="21"/>
        </w:rPr>
        <w:t xml:space="preserve">Le step est gardé par </w:t>
      </w:r>
      <w:r>
        <w:rPr>
          <w:rFonts w:ascii="Consolas" w:cs="Consolas" w:eastAsia="Consolas" w:hAnsi="Consolas"/>
          <w:color w:val="2C5F4A"/>
          <w:sz w:val="19"/>
          <w:szCs w:val="19"/>
        </w:rPr>
        <w:t xml:space="preserve">if: env.SONAR_TOKEN != ''</w:t>
      </w:r>
      <w:r>
        <w:rPr>
          <w:sz w:val="21"/>
          <w:szCs w:val="21"/>
        </w:rPr>
        <w:t xml:space="preserve"> : en l'absence de jeton (pull request Dependabot par exemple), il est sauté sans faire échouer la CI. Les jetons </w:t>
      </w:r>
      <w:r>
        <w:rPr>
          <w:rFonts w:ascii="Consolas" w:cs="Consolas" w:eastAsia="Consolas" w:hAnsi="Consolas"/>
          <w:color w:val="2C5F4A"/>
          <w:sz w:val="19"/>
          <w:szCs w:val="19"/>
        </w:rPr>
        <w:t xml:space="preserve">SONAR_TOKEN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C5F4A"/>
          <w:sz w:val="19"/>
          <w:szCs w:val="19"/>
        </w:rPr>
        <w:t xml:space="preserve">SONAR_ORGANIZATION</w:t>
      </w:r>
      <w:r>
        <w:rPr>
          <w:sz w:val="21"/>
          <w:szCs w:val="21"/>
        </w:rPr>
        <w:t xml:space="preserve"> et </w:t>
      </w:r>
      <w:r>
        <w:rPr>
          <w:rFonts w:ascii="Consolas" w:cs="Consolas" w:eastAsia="Consolas" w:hAnsi="Consolas"/>
          <w:color w:val="2C5F4A"/>
          <w:sz w:val="19"/>
          <w:szCs w:val="19"/>
        </w:rPr>
        <w:t xml:space="preserve">SONAR_PROJECT_KEY</w:t>
      </w:r>
      <w:r>
        <w:rPr>
          <w:sz w:val="21"/>
          <w:szCs w:val="21"/>
        </w:rPr>
        <w:t xml:space="preserve"> sont stockés dans les secrets GitHub Actions, jamais dans le code.</w:t>
      </w:r>
    </w:p>
    <w:p>
      <w:pPr>
        <w:pStyle w:val="Heading1"/>
        <w:spacing w:after="160" w:before="320"/>
      </w:pPr>
      <w:r>
        <w:rPr>
          <w:b/>
          <w:bCs/>
          <w:color w:val="2C5F4A"/>
          <w:sz w:val="30"/>
          <w:szCs w:val="30"/>
        </w:rPr>
        <w:t xml:space="preserve">8. Mesures détaillées par application</w:t>
      </w:r>
    </w:p>
    <w:p>
      <w:pPr>
        <w:pStyle w:val="Heading2"/>
        <w:spacing w:after="120" w:before="220"/>
      </w:pPr>
      <w:r>
        <w:rPr>
          <w:b/>
          <w:bCs/>
          <w:color w:val="4B6B59"/>
          <w:sz w:val="24"/>
          <w:szCs w:val="24"/>
        </w:rPr>
        <w:t xml:space="preserve">8.1 API — Spring Boot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Rate limiting (bucket4j). </w:t>
      </w:r>
      <w:r>
        <w:rPr>
          <w:sz w:val="21"/>
          <w:szCs w:val="21"/>
        </w:rPr>
        <w:t xml:space="preserve">Filtre </w:t>
      </w:r>
      <w:r>
        <w:rPr>
          <w:rFonts w:ascii="Consolas" w:cs="Consolas" w:eastAsia="Consolas" w:hAnsi="Consolas"/>
          <w:color w:val="2C5F4A"/>
          <w:sz w:val="19"/>
          <w:szCs w:val="19"/>
        </w:rPr>
        <w:t xml:space="preserve">OncePerRequestFilter</w:t>
      </w:r>
      <w:r>
        <w:rPr>
          <w:sz w:val="21"/>
          <w:szCs w:val="21"/>
        </w:rPr>
        <w:t xml:space="preserve"> par IP, réponse HTTP 429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426"/>
      </w:tblGrid>
      <w:tr>
        <w:trPr>
          <w:tblHeader/>
        </w:trPr>
        <w:tc>
          <w:tcPr>
            <w:tcW w:type="dxa" w:w="36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4B6B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4B6B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Limite</w:t>
            </w:r>
          </w:p>
        </w:tc>
        <w:tc>
          <w:tcPr>
            <w:tcW w:type="dxa" w:w="34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4B6B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Protection</w:t>
            </w:r>
          </w:p>
        </w:tc>
      </w:tr>
      <w:tr>
        <w:tc>
          <w:tcPr>
            <w:tcW w:type="dxa" w:w="36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 /api/auth/login</w:t>
            </w:r>
          </w:p>
        </w:tc>
        <w:tc>
          <w:tcPr>
            <w:tcW w:type="dxa" w:w="20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 / minute</w:t>
            </w:r>
          </w:p>
        </w:tc>
        <w:tc>
          <w:tcPr>
            <w:tcW w:type="dxa" w:w="34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Brute-force</w:t>
            </w:r>
          </w:p>
        </w:tc>
      </w:tr>
      <w:tr>
        <w:tc>
          <w:tcPr>
            <w:tcW w:type="dxa" w:w="36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 /api/auth/forgot-password</w:t>
            </w:r>
          </w:p>
        </w:tc>
        <w:tc>
          <w:tcPr>
            <w:tcW w:type="dxa" w:w="20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/ 10 minutes</w:t>
            </w:r>
          </w:p>
        </w:tc>
        <w:tc>
          <w:tcPr>
            <w:tcW w:type="dxa" w:w="34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Énumération de comptes, spam d'e-mails</w:t>
            </w:r>
          </w:p>
        </w:tc>
      </w:tr>
    </w:tbl>
    <w:p>
      <w:pPr>
        <w:spacing w:after="120" w:line="276"/>
      </w:pPr>
      <w:r>
        <w:rPr>
          <w:b/>
          <w:bCs/>
          <w:sz w:val="21"/>
          <w:szCs w:val="21"/>
        </w:rPr>
        <w:t xml:space="preserve">En-têtes HTTP. </w:t>
      </w:r>
      <w:r>
        <w:rPr>
          <w:sz w:val="21"/>
          <w:szCs w:val="21"/>
        </w:rPr>
        <w:t xml:space="preserve">Posés à deux niveaux (Spring Security + nginx) : X-Frame-Options, X-Content-Type-Options, Referrer-Policy, Content-Security-Policy, Permissions-Policy, et HSTS en production.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Secrets. </w:t>
      </w:r>
      <w:r>
        <w:rPr>
          <w:sz w:val="21"/>
          <w:szCs w:val="21"/>
        </w:rPr>
        <w:t xml:space="preserve">Le secret JWT a été retiré du code (il figurait en défaut commité) et régénéré. Il ne vit désormais que dans les variables d'environnement et les secrets GitHub. Gitleaks bloque toute réintroduction.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CVE corrigées. </w:t>
      </w:r>
      <w:r>
        <w:rPr>
          <w:sz w:val="21"/>
          <w:szCs w:val="21"/>
        </w:rPr>
        <w:t xml:space="preserve">jackson-databind (CVE-2026-54512 / 54513) via import de BOM 2.21.4 et 3.1.4 ; Tomcat forcé en 11.0.22 ; Swagger désactivé en production.</w:t>
      </w:r>
    </w:p>
    <w:p>
      <w:pPr>
        <w:pStyle w:val="Heading2"/>
        <w:spacing w:after="120" w:before="220"/>
      </w:pPr>
      <w:r>
        <w:rPr>
          <w:b/>
          <w:bCs/>
          <w:color w:val="4B6B59"/>
          <w:sz w:val="24"/>
          <w:szCs w:val="24"/>
        </w:rPr>
        <w:t xml:space="preserve">8.2 Front — Next.js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En-têtes de sécurité. </w:t>
      </w:r>
      <w:r>
        <w:rPr>
          <w:sz w:val="21"/>
          <w:szCs w:val="21"/>
        </w:rPr>
        <w:t xml:space="preserve">Six en-têtes dans </w:t>
      </w:r>
      <w:r>
        <w:rPr>
          <w:rFonts w:ascii="Consolas" w:cs="Consolas" w:eastAsia="Consolas" w:hAnsi="Consolas"/>
          <w:color w:val="2C5F4A"/>
          <w:sz w:val="19"/>
          <w:szCs w:val="19"/>
        </w:rPr>
        <w:t xml:space="preserve">next.config.ts</w:t>
      </w:r>
      <w:r>
        <w:rPr>
          <w:sz w:val="21"/>
          <w:szCs w:val="21"/>
        </w:rPr>
        <w:t xml:space="preserve">, dont une CSP construite dynamiquement à partir des origines autorisées (API et Supabase uniquement). HSTS émis uniquement en production.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CSP — compromis assumé. </w:t>
      </w:r>
      <w:r>
        <w:rPr>
          <w:sz w:val="21"/>
          <w:szCs w:val="21"/>
        </w:rPr>
        <w:t xml:space="preserve">La politique autorise </w:t>
      </w:r>
      <w:r>
        <w:rPr>
          <w:rFonts w:ascii="Consolas" w:cs="Consolas" w:eastAsia="Consolas" w:hAnsi="Consolas"/>
          <w:color w:val="2C5F4A"/>
          <w:sz w:val="19"/>
          <w:szCs w:val="19"/>
        </w:rPr>
        <w:t xml:space="preserve">'unsafe-inline'</w:t>
      </w:r>
      <w:r>
        <w:rPr>
          <w:sz w:val="21"/>
          <w:szCs w:val="21"/>
        </w:rPr>
        <w:t xml:space="preserve"> sur script/style (le App Router injecte des scripts et styles inline). La solution propre — un nonce par requête généré via un middleware — constitue une évolution recommandée.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CVE corrigée. </w:t>
      </w:r>
      <w:r>
        <w:rPr>
          <w:sz w:val="21"/>
          <w:szCs w:val="21"/>
        </w:rPr>
        <w:t xml:space="preserve">Next.js 16.2.2 portait des CVE HIGH (contournement de middleware), détectées par le scan CI. Corrigées par montée en 16.2.10.</w:t>
      </w:r>
    </w:p>
    <w:p>
      <w:pPr>
        <w:pStyle w:val="Heading2"/>
        <w:spacing w:after="120" w:before="220"/>
      </w:pPr>
      <w:r>
        <w:rPr>
          <w:b/>
          <w:bCs/>
          <w:color w:val="4B6B59"/>
          <w:sz w:val="24"/>
          <w:szCs w:val="24"/>
        </w:rPr>
        <w:t xml:space="preserve">8.3 Mobile — Flutter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Analyse &amp; scan. </w:t>
      </w:r>
      <w:r>
        <w:rPr>
          <w:sz w:val="21"/>
          <w:szCs w:val="21"/>
        </w:rPr>
        <w:t xml:space="preserve">La CI exécute </w:t>
      </w:r>
      <w:r>
        <w:rPr>
          <w:rFonts w:ascii="Consolas" w:cs="Consolas" w:eastAsia="Consolas" w:hAnsi="Consolas"/>
          <w:color w:val="2C5F4A"/>
          <w:sz w:val="19"/>
          <w:szCs w:val="19"/>
        </w:rPr>
        <w:t xml:space="preserve">flutter analyze</w:t>
      </w:r>
      <w:r>
        <w:rPr>
          <w:sz w:val="21"/>
          <w:szCs w:val="21"/>
        </w:rPr>
        <w:t xml:space="preserve"> (bloquant) et </w:t>
      </w:r>
      <w:r>
        <w:rPr>
          <w:rFonts w:ascii="Consolas" w:cs="Consolas" w:eastAsia="Consolas" w:hAnsi="Consolas"/>
          <w:color w:val="2C5F4A"/>
          <w:sz w:val="19"/>
          <w:szCs w:val="19"/>
        </w:rPr>
        <w:t xml:space="preserve">flutter test</w:t>
      </w:r>
      <w:r>
        <w:rPr>
          <w:sz w:val="21"/>
          <w:szCs w:val="21"/>
        </w:rPr>
        <w:t xml:space="preserve"> ; le workflow sécurité scanne pubspec.lock (CVE pub.dev), secrets et misconfigs via Trivy, plus Gitleaks.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Point de vigilance. </w:t>
      </w:r>
      <w:r>
        <w:rPr>
          <w:sz w:val="21"/>
          <w:szCs w:val="21"/>
        </w:rPr>
        <w:t xml:space="preserve">Le fichier de démonstration contient un mot de passe en clair. Le dépôt étant public, s'assurer qu'aucun compte réel de production ne l'utilise.</w:t>
      </w:r>
    </w:p>
    <w:p>
      <w:pPr>
        <w:pageBreakBefore/>
      </w:pPr>
    </w:p>
    <w:p>
      <w:pPr>
        <w:pStyle w:val="Heading1"/>
        <w:spacing w:after="160" w:before="320"/>
      </w:pPr>
      <w:r>
        <w:rPr>
          <w:b/>
          <w:bCs/>
          <w:color w:val="2C5F4A"/>
          <w:sz w:val="30"/>
          <w:szCs w:val="30"/>
        </w:rPr>
        <w:t xml:space="preserve">9. Sécurité de la chaîne de livraison (CI/CD)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626"/>
      </w:tblGrid>
      <w:tr>
        <w:trPr>
          <w:tblHeader/>
        </w:trPr>
        <w:tc>
          <w:tcPr>
            <w:tcW w:type="dxa" w:w="20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4B6B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Outil</w:t>
            </w:r>
          </w:p>
        </w:tc>
        <w:tc>
          <w:tcPr>
            <w:tcW w:type="dxa" w:w="44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4B6B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26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4B6B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Portée</w:t>
            </w:r>
          </w:p>
        </w:tc>
      </w:tr>
      <w:tr>
        <w:tc>
          <w:tcPr>
            <w:tcW w:type="dxa" w:w="20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Trivy</w:t>
            </w:r>
          </w:p>
        </w:tc>
        <w:tc>
          <w:tcPr>
            <w:tcW w:type="dxa" w:w="44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CVE des dépendances, secrets, misconfigs, image Docker</w:t>
            </w:r>
          </w:p>
        </w:tc>
        <w:tc>
          <w:tcPr>
            <w:tcW w:type="dxa" w:w="26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apps</w:t>
            </w:r>
          </w:p>
        </w:tc>
      </w:tr>
      <w:tr>
        <w:tc>
          <w:tcPr>
            <w:tcW w:type="dxa" w:w="20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Gitleaks</w:t>
            </w:r>
          </w:p>
        </w:tc>
        <w:tc>
          <w:tcPr>
            <w:tcW w:type="dxa" w:w="44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Détection de secrets dans l'historique git</w:t>
            </w:r>
          </w:p>
        </w:tc>
        <w:tc>
          <w:tcPr>
            <w:tcW w:type="dxa" w:w="26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apps</w:t>
            </w:r>
          </w:p>
        </w:tc>
      </w:tr>
      <w:tr>
        <w:tc>
          <w:tcPr>
            <w:tcW w:type="dxa" w:w="20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OWASP Dependency Check</w:t>
            </w:r>
          </w:p>
        </w:tc>
        <w:tc>
          <w:tcPr>
            <w:tcW w:type="dxa" w:w="44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Scan approfondi base NVD (nocturne)</w:t>
            </w:r>
          </w:p>
        </w:tc>
        <w:tc>
          <w:tcPr>
            <w:tcW w:type="dxa" w:w="26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</w:t>
            </w:r>
          </w:p>
        </w:tc>
      </w:tr>
      <w:tr>
        <w:tc>
          <w:tcPr>
            <w:tcW w:type="dxa" w:w="20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Dependabot</w:t>
            </w:r>
          </w:p>
        </w:tc>
        <w:tc>
          <w:tcPr>
            <w:tcW w:type="dxa" w:w="44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Mises à jour préventives (Maven, npm, pub, actions)</w:t>
            </w:r>
          </w:p>
        </w:tc>
        <w:tc>
          <w:tcPr>
            <w:tcW w:type="dxa" w:w="26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apps</w:t>
            </w:r>
          </w:p>
        </w:tc>
      </w:tr>
      <w:tr>
        <w:tc>
          <w:tcPr>
            <w:tcW w:type="dxa" w:w="20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SonarCloud</w:t>
            </w:r>
          </w:p>
        </w:tc>
        <w:tc>
          <w:tcPr>
            <w:tcW w:type="dxa" w:w="44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Analyse statique (SAST), couverture</w:t>
            </w:r>
          </w:p>
        </w:tc>
        <w:tc>
          <w:tcPr>
            <w:tcW w:type="dxa" w:w="26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</w:t>
            </w:r>
          </w:p>
        </w:tc>
      </w:tr>
    </w:tbl>
    <w:p>
      <w:pPr>
        <w:spacing w:after="120" w:line="276"/>
      </w:pPr>
      <w:r>
        <w:rPr>
          <w:sz w:val="21"/>
          <w:szCs w:val="21"/>
        </w:rPr>
        <w:t xml:space="preserve">La branche </w:t>
      </w:r>
      <w:r>
        <w:rPr>
          <w:rFonts w:ascii="Consolas" w:cs="Consolas" w:eastAsia="Consolas" w:hAnsi="Consolas"/>
          <w:color w:val="2C5F4A"/>
          <w:sz w:val="19"/>
          <w:szCs w:val="19"/>
        </w:rPr>
        <w:t xml:space="preserve">main</w:t>
      </w:r>
      <w:r>
        <w:rPr>
          <w:sz w:val="21"/>
          <w:szCs w:val="21"/>
        </w:rPr>
        <w:t xml:space="preserve"> de chaque dépôt est protégée par un ruleset : pull request obligatoire et checks de sécurité verts exigés avant tout merge.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Traitement d'une alerte Dependabot. </w:t>
      </w:r>
      <w:r>
        <w:rPr>
          <w:sz w:val="21"/>
          <w:szCs w:val="21"/>
        </w:rPr>
        <w:t xml:space="preserve">Revue de la PR, vérification de la CI verte, merge. Une montée majeure cassante est fermée et neutralisée par une règle </w:t>
      </w:r>
      <w:r>
        <w:rPr>
          <w:rFonts w:ascii="Consolas" w:cs="Consolas" w:eastAsia="Consolas" w:hAnsi="Consolas"/>
          <w:color w:val="2C5F4A"/>
          <w:sz w:val="19"/>
          <w:szCs w:val="19"/>
        </w:rPr>
        <w:t xml:space="preserve">ignore</w:t>
      </w:r>
      <w:r>
        <w:rPr>
          <w:sz w:val="21"/>
          <w:szCs w:val="21"/>
        </w:rPr>
        <w:t xml:space="preserve"> si elle récidive.</w:t>
      </w:r>
    </w:p>
    <w:p>
      <w:pPr>
        <w:pStyle w:val="Heading1"/>
        <w:spacing w:after="160" w:before="320"/>
      </w:pPr>
      <w:r>
        <w:rPr>
          <w:b/>
          <w:bCs/>
          <w:color w:val="2C5F4A"/>
          <w:sz w:val="30"/>
          <w:szCs w:val="30"/>
        </w:rPr>
        <w:t xml:space="preserve">10. Conformité RGPD</w:t>
      </w:r>
    </w:p>
    <w:p>
      <w:pPr>
        <w:pStyle w:val="Heading2"/>
        <w:spacing w:after="120" w:before="220"/>
      </w:pPr>
      <w:r>
        <w:rPr>
          <w:b/>
          <w:bCs/>
          <w:color w:val="4B6B59"/>
          <w:sz w:val="24"/>
          <w:szCs w:val="24"/>
        </w:rPr>
        <w:t xml:space="preserve">10.1 Données à caractère personnel collectées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200"/>
        <w:gridCol w:w="1626"/>
      </w:tblGrid>
      <w:tr>
        <w:trPr>
          <w:tblHeader/>
        </w:trPr>
        <w:tc>
          <w:tcPr>
            <w:tcW w:type="dxa" w:w="24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4B6B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Donnée</w:t>
            </w:r>
          </w:p>
        </w:tc>
        <w:tc>
          <w:tcPr>
            <w:tcW w:type="dxa" w:w="28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4B6B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Finalité</w:t>
            </w:r>
          </w:p>
        </w:tc>
        <w:tc>
          <w:tcPr>
            <w:tcW w:type="dxa" w:w="22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4B6B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Conservation</w:t>
            </w:r>
          </w:p>
        </w:tc>
        <w:tc>
          <w:tcPr>
            <w:tcW w:type="dxa" w:w="16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4B6B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Sensible</w:t>
            </w:r>
          </w:p>
        </w:tc>
      </w:tr>
      <w:tr>
        <w:tc>
          <w:tcPr>
            <w:tcW w:type="dxa" w:w="24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Nom, prénom</w:t>
            </w:r>
          </w:p>
        </w:tc>
        <w:tc>
          <w:tcPr>
            <w:tcW w:type="dxa" w:w="28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Identification de l'utilisateur</w:t>
            </w:r>
          </w:p>
        </w:tc>
        <w:tc>
          <w:tcPr>
            <w:tcW w:type="dxa" w:w="22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Durée du compte</w:t>
            </w:r>
          </w:p>
        </w:tc>
        <w:tc>
          <w:tcPr>
            <w:tcW w:type="dxa" w:w="16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Non</w:t>
            </w:r>
          </w:p>
        </w:tc>
      </w:tr>
      <w:tr>
        <w:tc>
          <w:tcPr>
            <w:tcW w:type="dxa" w:w="24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Adresse e-mail</w:t>
            </w:r>
          </w:p>
        </w:tc>
        <w:tc>
          <w:tcPr>
            <w:tcW w:type="dxa" w:w="28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Authentification, réinitialisation</w:t>
            </w:r>
          </w:p>
        </w:tc>
        <w:tc>
          <w:tcPr>
            <w:tcW w:type="dxa" w:w="22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Durée du compte</w:t>
            </w:r>
          </w:p>
        </w:tc>
        <w:tc>
          <w:tcPr>
            <w:tcW w:type="dxa" w:w="16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Non</w:t>
            </w:r>
          </w:p>
        </w:tc>
      </w:tr>
      <w:tr>
        <w:tc>
          <w:tcPr>
            <w:tcW w:type="dxa" w:w="24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Mot de passe (haché BCrypt)</w:t>
            </w:r>
          </w:p>
        </w:tc>
        <w:tc>
          <w:tcPr>
            <w:tcW w:type="dxa" w:w="28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Sécurité de l'accès</w:t>
            </w:r>
          </w:p>
        </w:tc>
        <w:tc>
          <w:tcPr>
            <w:tcW w:type="dxa" w:w="22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Durée du compte</w:t>
            </w:r>
          </w:p>
        </w:tc>
        <w:tc>
          <w:tcPr>
            <w:tcW w:type="dxa" w:w="16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24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Date de création du compte</w:t>
            </w:r>
          </w:p>
        </w:tc>
        <w:tc>
          <w:tcPr>
            <w:tcW w:type="dxa" w:w="28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Traçabilité</w:t>
            </w:r>
          </w:p>
        </w:tc>
        <w:tc>
          <w:tcPr>
            <w:tcW w:type="dxa" w:w="22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Durée du compte</w:t>
            </w:r>
          </w:p>
        </w:tc>
        <w:tc>
          <w:tcPr>
            <w:tcW w:type="dxa" w:w="16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Non</w:t>
            </w:r>
          </w:p>
        </w:tc>
      </w:tr>
      <w:tr>
        <w:tc>
          <w:tcPr>
            <w:tcW w:type="dxa" w:w="24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IP, horodatage, e-mail tenté</w:t>
            </w:r>
          </w:p>
        </w:tc>
        <w:tc>
          <w:tcPr>
            <w:tcW w:type="dxa" w:w="28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Sécurité, détection brute-force</w:t>
            </w:r>
          </w:p>
        </w:tc>
        <w:tc>
          <w:tcPr>
            <w:tcW w:type="dxa" w:w="22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90 jours (recommandé)</w:t>
            </w:r>
          </w:p>
        </w:tc>
        <w:tc>
          <w:tcPr>
            <w:tcW w:type="dxa" w:w="16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Non</w:t>
            </w:r>
          </w:p>
        </w:tc>
      </w:tr>
      <w:tr>
        <w:tc>
          <w:tcPr>
            <w:tcW w:type="dxa" w:w="24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Historique d'activité</w:t>
            </w:r>
          </w:p>
        </w:tc>
        <w:tc>
          <w:tcPr>
            <w:tcW w:type="dxa" w:w="28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Audit des mutations</w:t>
            </w:r>
          </w:p>
        </w:tc>
        <w:tc>
          <w:tcPr>
            <w:tcW w:type="dxa" w:w="22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90 jours (recommandé)</w:t>
            </w:r>
          </w:p>
        </w:tc>
        <w:tc>
          <w:tcPr>
            <w:tcW w:type="dxa" w:w="16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Non</w:t>
            </w:r>
          </w:p>
        </w:tc>
      </w:tr>
      <w:tr>
        <w:tc>
          <w:tcPr>
            <w:tcW w:type="dxa" w:w="24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Historique d'exercices</w:t>
            </w:r>
          </w:p>
        </w:tc>
        <w:tc>
          <w:tcPr>
            <w:tcW w:type="dxa" w:w="28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Suivi du bien-être personnel</w:t>
            </w:r>
          </w:p>
        </w:tc>
        <w:tc>
          <w:tcPr>
            <w:tcW w:type="dxa" w:w="22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Durée du compte</w:t>
            </w:r>
          </w:p>
        </w:tc>
        <w:tc>
          <w:tcPr>
            <w:tcW w:type="dxa" w:w="16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OUI — santé</w:t>
            </w:r>
          </w:p>
        </w:tc>
      </w:tr>
    </w:tbl>
    <w:p>
      <w:pPr>
        <w:spacing w:after="120" w:line="276"/>
      </w:pPr>
      <w:r>
        <w:rPr>
          <w:sz w:val="21"/>
          <w:szCs w:val="21"/>
        </w:rPr>
        <w:t xml:space="preserve">L'historique d'exercices relève des </w:t>
      </w:r>
      <w:r>
        <w:rPr>
          <w:b/>
          <w:bCs/>
          <w:sz w:val="21"/>
          <w:szCs w:val="21"/>
        </w:rPr>
        <w:t xml:space="preserve">données de santé</w:t>
      </w:r>
      <w:r>
        <w:rPr>
          <w:sz w:val="21"/>
          <w:szCs w:val="21"/>
        </w:rPr>
        <w:t xml:space="preserve"> au sens du RGPD : il nécessite un consentement explicite et une protection renforcée.</w:t>
      </w:r>
    </w:p>
    <w:p>
      <w:pPr>
        <w:pStyle w:val="Heading2"/>
        <w:spacing w:after="120" w:before="220"/>
      </w:pPr>
      <w:r>
        <w:rPr>
          <w:b/>
          <w:bCs/>
          <w:color w:val="4B6B59"/>
          <w:sz w:val="24"/>
          <w:szCs w:val="24"/>
        </w:rPr>
        <w:t xml:space="preserve">10.2 Droits des personnes — état d'implémentation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000"/>
        <w:gridCol w:w="2126"/>
      </w:tblGrid>
      <w:tr>
        <w:trPr>
          <w:tblHeader/>
        </w:trPr>
        <w:tc>
          <w:tcPr>
            <w:tcW w:type="dxa" w:w="19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4B6B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Droit</w:t>
            </w:r>
          </w:p>
        </w:tc>
        <w:tc>
          <w:tcPr>
            <w:tcW w:type="dxa" w:w="50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4B6B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Mécanisme</w:t>
            </w:r>
          </w:p>
        </w:tc>
        <w:tc>
          <w:tcPr>
            <w:tcW w:type="dxa" w:w="21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4B6B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État</w:t>
            </w:r>
          </w:p>
        </w:tc>
      </w:tr>
      <w:tr>
        <w:tc>
          <w:tcPr>
            <w:tcW w:type="dxa" w:w="19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Accès</w:t>
            </w:r>
          </w:p>
        </w:tc>
        <w:tc>
          <w:tcPr>
            <w:tcW w:type="dxa" w:w="50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/api/user/{id} — consultation du profil</w:t>
            </w:r>
          </w:p>
        </w:tc>
        <w:tc>
          <w:tcPr>
            <w:tcW w:type="dxa" w:w="21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Implémenté</w:t>
            </w:r>
          </w:p>
        </w:tc>
      </w:tr>
      <w:tr>
        <w:tc>
          <w:tcPr>
            <w:tcW w:type="dxa" w:w="19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Rectification</w:t>
            </w:r>
          </w:p>
        </w:tc>
        <w:tc>
          <w:tcPr>
            <w:tcW w:type="dxa" w:w="50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PUT /api/user/{id}</w:t>
            </w:r>
          </w:p>
        </w:tc>
        <w:tc>
          <w:tcPr>
            <w:tcW w:type="dxa" w:w="21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Implémenté</w:t>
            </w:r>
          </w:p>
        </w:tc>
      </w:tr>
      <w:tr>
        <w:tc>
          <w:tcPr>
            <w:tcW w:type="dxa" w:w="19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Effacement</w:t>
            </w:r>
          </w:p>
        </w:tc>
        <w:tc>
          <w:tcPr>
            <w:tcW w:type="dxa" w:w="50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DELETE /api/user/me (auto) ; DELETE /api/user/{id} (anonymisation admin)</w:t>
            </w:r>
          </w:p>
        </w:tc>
        <w:tc>
          <w:tcPr>
            <w:tcW w:type="dxa" w:w="21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Implémenté</w:t>
            </w:r>
          </w:p>
        </w:tc>
      </w:tr>
      <w:tr>
        <w:tc>
          <w:tcPr>
            <w:tcW w:type="dxa" w:w="19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Portabilité</w:t>
            </w:r>
          </w:p>
        </w:tc>
        <w:tc>
          <w:tcPr>
            <w:tcW w:type="dxa" w:w="50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Export structuré JSON/CSV</w:t>
            </w:r>
          </w:p>
        </w:tc>
        <w:tc>
          <w:tcPr>
            <w:tcW w:type="dxa" w:w="21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NON implémenté</w:t>
            </w:r>
          </w:p>
        </w:tc>
      </w:tr>
      <w:tr>
        <w:tc>
          <w:tcPr>
            <w:tcW w:type="dxa" w:w="19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Opposition / limitation</w:t>
            </w:r>
          </w:p>
        </w:tc>
        <w:tc>
          <w:tcPr>
            <w:tcW w:type="dxa" w:w="50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Désactivation du compte (active = false)</w:t>
            </w:r>
          </w:p>
        </w:tc>
        <w:tc>
          <w:tcPr>
            <w:tcW w:type="dxa" w:w="21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Partiel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4B6B59"/>
          <w:sz w:val="24"/>
          <w:szCs w:val="24"/>
        </w:rPr>
        <w:t xml:space="preserve">10.3 Écarts identifiés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Consentement explicite. </w:t>
      </w:r>
      <w:r>
        <w:rPr>
          <w:sz w:val="21"/>
          <w:szCs w:val="21"/>
        </w:rPr>
        <w:t xml:space="preserve">Aucun champ de consentement n'est stocké dans le modèle de données de l'API. Or les données de santé exigent un consentement explicite et démontrable. Action requise : ajouter un champ de consentement horodaté à l'inscription.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Durée de conservation. </w:t>
      </w:r>
      <w:r>
        <w:rPr>
          <w:sz w:val="21"/>
          <w:szCs w:val="21"/>
        </w:rPr>
        <w:t xml:space="preserve">Aucune purge automatique des journaux n'est en place. Les durées indiquées sont des recommandations, pas des mécanismes actifs.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Portabilité. </w:t>
      </w:r>
      <w:r>
        <w:rPr>
          <w:sz w:val="21"/>
          <w:szCs w:val="21"/>
        </w:rPr>
        <w:t xml:space="preserve">Aucun export structuré n'est proposé.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Violation de données. </w:t>
      </w:r>
      <w:r>
        <w:rPr>
          <w:sz w:val="21"/>
          <w:szCs w:val="21"/>
        </w:rPr>
        <w:t xml:space="preserve">Notification à la CNIL sous 72 heures et information des personnes concernées si le risque est élevé.</w:t>
      </w:r>
    </w:p>
    <w:p>
      <w:pPr>
        <w:pageBreakBefore/>
      </w:pPr>
    </w:p>
    <w:p>
      <w:pPr>
        <w:pStyle w:val="Heading1"/>
        <w:spacing w:after="160" w:before="320"/>
      </w:pPr>
      <w:r>
        <w:rPr>
          <w:b/>
          <w:bCs/>
          <w:color w:val="2C5F4A"/>
          <w:sz w:val="30"/>
          <w:szCs w:val="30"/>
        </w:rPr>
        <w:t xml:space="preserve">11. Gestion de crise — réponse à incident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1. Détection — </w:t>
      </w:r>
      <w:r>
        <w:rPr>
          <w:sz w:val="21"/>
          <w:szCs w:val="21"/>
        </w:rPr>
        <w:t xml:space="preserve">alerte Dependabot, échec de scan de sécurité, journaux anormaux, ou signalement utilisateur via une issue GitHub.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2. Isolation — </w:t>
      </w:r>
      <w:r>
        <w:rPr>
          <w:sz w:val="21"/>
          <w:szCs w:val="21"/>
        </w:rPr>
        <w:t xml:space="preserve">couper le service concerné ; en cas de compromission de token, rotation immédiate du secret JWT (invalide tous les tokens émis).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3. Analyse — </w:t>
      </w:r>
      <w:r>
        <w:rPr>
          <w:sz w:val="21"/>
          <w:szCs w:val="21"/>
        </w:rPr>
        <w:t xml:space="preserve">examiner log_connexion et log_activite pour délimiter le périmètre et l'impact.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4. Correction — </w:t>
      </w:r>
      <w:r>
        <w:rPr>
          <w:sz w:val="21"/>
          <w:szCs w:val="21"/>
        </w:rPr>
        <w:t xml:space="preserve">patch, pull request, CI verte, redéploiement.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5. Communication — </w:t>
      </w:r>
      <w:r>
        <w:rPr>
          <w:sz w:val="21"/>
          <w:szCs w:val="21"/>
        </w:rPr>
        <w:t xml:space="preserve">informer les utilisateurs si des données personnelles sont concernées.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6. Obligation RGPD — </w:t>
      </w:r>
      <w:r>
        <w:rPr>
          <w:sz w:val="21"/>
          <w:szCs w:val="21"/>
        </w:rPr>
        <w:t xml:space="preserve">notification à la CNIL sous 72 h en cas de violation de données personnelles.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Responsabilité des journaux. </w:t>
      </w:r>
      <w:r>
        <w:rPr>
          <w:sz w:val="21"/>
          <w:szCs w:val="21"/>
        </w:rPr>
        <w:t xml:space="preserve">L'administrateur de la plateforme est responsable de leur conservation et de leur purge. Rétention recommandée : 90 jours.</w:t>
      </w:r>
    </w:p>
    <w:p>
      <w:pPr>
        <w:pStyle w:val="Heading1"/>
        <w:spacing w:after="160" w:before="320"/>
      </w:pPr>
      <w:r>
        <w:rPr>
          <w:b/>
          <w:bCs/>
          <w:color w:val="2C5F4A"/>
          <w:sz w:val="30"/>
          <w:szCs w:val="30"/>
        </w:rPr>
        <w:t xml:space="preserve">12. Risques résiduels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026"/>
      </w:tblGrid>
      <w:tr>
        <w:trPr>
          <w:tblHeader/>
        </w:trPr>
        <w:tc>
          <w:tcPr>
            <w:tcW w:type="dxa" w:w="38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4B6B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Risque</w:t>
            </w:r>
          </w:p>
        </w:tc>
        <w:tc>
          <w:tcPr>
            <w:tcW w:type="dxa" w:w="12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4B6B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Gravité</w:t>
            </w:r>
          </w:p>
        </w:tc>
        <w:tc>
          <w:tcPr>
            <w:tcW w:type="dxa" w:w="40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4B6B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 recommandée</w:t>
            </w:r>
          </w:p>
        </w:tc>
      </w:tr>
      <w:tr>
        <w:tc>
          <w:tcPr>
            <w:tcW w:type="dxa" w:w="38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Consentement RGPD non tracé (données de santé)</w:t>
            </w:r>
          </w:p>
        </w:tc>
        <w:tc>
          <w:tcPr>
            <w:tcW w:type="dxa" w:w="12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Élevée</w:t>
            </w:r>
          </w:p>
        </w:tc>
        <w:tc>
          <w:tcPr>
            <w:tcW w:type="dxa" w:w="40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Champ de consentement horodaté à l'inscription</w:t>
            </w:r>
          </w:p>
        </w:tc>
      </w:tr>
      <w:tr>
        <w:tc>
          <w:tcPr>
            <w:tcW w:type="dxa" w:w="38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Aucune purge automatique des journaux</w:t>
            </w:r>
          </w:p>
        </w:tc>
        <w:tc>
          <w:tcPr>
            <w:tcW w:type="dxa" w:w="12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Moyenne</w:t>
            </w:r>
          </w:p>
        </w:tc>
        <w:tc>
          <w:tcPr>
            <w:tcW w:type="dxa" w:w="40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Tâche planifiée de suppression à 90 jours</w:t>
            </w:r>
          </w:p>
        </w:tc>
      </w:tr>
      <w:tr>
        <w:tc>
          <w:tcPr>
            <w:tcW w:type="dxa" w:w="38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Droit à la portabilité non implémenté</w:t>
            </w:r>
          </w:p>
        </w:tc>
        <w:tc>
          <w:tcPr>
            <w:tcW w:type="dxa" w:w="12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Moyenne</w:t>
            </w:r>
          </w:p>
        </w:tc>
        <w:tc>
          <w:tcPr>
            <w:tcW w:type="dxa" w:w="40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Endpoint d'export JSON des données utilisateur</w:t>
            </w:r>
          </w:p>
        </w:tc>
      </w:tr>
      <w:tr>
        <w:tc>
          <w:tcPr>
            <w:tcW w:type="dxa" w:w="38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CSP avec 'unsafe-inline' (front)</w:t>
            </w:r>
          </w:p>
        </w:tc>
        <w:tc>
          <w:tcPr>
            <w:tcW w:type="dxa" w:w="12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Moyenne</w:t>
            </w:r>
          </w:p>
        </w:tc>
        <w:tc>
          <w:tcPr>
            <w:tcW w:type="dxa" w:w="40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Passer aux nonces via middleware</w:t>
            </w:r>
          </w:p>
        </w:tc>
      </w:tr>
      <w:tr>
        <w:tc>
          <w:tcPr>
            <w:tcW w:type="dxa" w:w="38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Upload sans validation MIME réelle</w:t>
            </w:r>
          </w:p>
        </w:tc>
        <w:tc>
          <w:tcPr>
            <w:tcW w:type="dxa" w:w="12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Moyenne</w:t>
            </w:r>
          </w:p>
        </w:tc>
        <w:tc>
          <w:tcPr>
            <w:tcW w:type="dxa" w:w="40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Vérifier les magic bytes côté serveur</w:t>
            </w:r>
          </w:p>
        </w:tc>
      </w:tr>
      <w:tr>
        <w:tc>
          <w:tcPr>
            <w:tcW w:type="dxa" w:w="38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Grafana : mot de passe par défaut en prod</w:t>
            </w:r>
          </w:p>
        </w:tc>
        <w:tc>
          <w:tcPr>
            <w:tcW w:type="dxa" w:w="12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Moyenne</w:t>
            </w:r>
          </w:p>
        </w:tc>
        <w:tc>
          <w:tcPr>
            <w:tcW w:type="dxa" w:w="40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Changer GRAFANA_ADMIN_PASSWORD ; tunnel SSH</w:t>
            </w:r>
          </w:p>
        </w:tc>
      </w:tr>
      <w:tr>
        <w:tc>
          <w:tcPr>
            <w:tcW w:type="dxa" w:w="38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Rate limiting en mémoire</w:t>
            </w:r>
          </w:p>
        </w:tc>
        <w:tc>
          <w:tcPr>
            <w:tcW w:type="dxa" w:w="12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Faible</w:t>
            </w:r>
          </w:p>
        </w:tc>
        <w:tc>
          <w:tcPr>
            <w:tcW w:type="dxa" w:w="40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Migrer vers bucket4j-redis si haute disponibilité</w:t>
            </w:r>
          </w:p>
        </w:tc>
      </w:tr>
      <w:tr>
        <w:tc>
          <w:tcPr>
            <w:tcW w:type="dxa" w:w="38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CVE moderate postcss (toolchain Next)</w:t>
            </w:r>
          </w:p>
        </w:tc>
        <w:tc>
          <w:tcPr>
            <w:tcW w:type="dxa" w:w="12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Faible</w:t>
            </w:r>
          </w:p>
        </w:tc>
        <w:tc>
          <w:tcPr>
            <w:tcW w:type="dxa" w:w="40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Surveiller les releases Next.js</w:t>
            </w:r>
          </w:p>
        </w:tc>
      </w:tr>
      <w:tr>
        <w:tc>
          <w:tcPr>
            <w:tcW w:type="dxa" w:w="38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Mot de passe de démo public (mobile)</w:t>
            </w:r>
          </w:p>
        </w:tc>
        <w:tc>
          <w:tcPr>
            <w:tcW w:type="dxa" w:w="12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Faible</w:t>
            </w:r>
          </w:p>
        </w:tc>
        <w:tc>
          <w:tcPr>
            <w:tcW w:type="dxa" w:w="40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Vérifier qu'aucun compte prod ne l'utilise</w:t>
            </w:r>
          </w:p>
        </w:tc>
      </w:tr>
      <w:tr>
        <w:tc>
          <w:tcPr>
            <w:tcW w:type="dxa" w:w="38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Secret JWT dans l'historique git</w:t>
            </w:r>
          </w:p>
        </w:tc>
        <w:tc>
          <w:tcPr>
            <w:tcW w:type="dxa" w:w="1200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Faible</w:t>
            </w:r>
          </w:p>
        </w:tc>
        <w:tc>
          <w:tcPr>
            <w:tcW w:type="dxa" w:w="4026"/>
            <w:tcBorders>
              <w:top w:val="single" w:color="C9D6CE" w:sz="2"/>
              <w:left w:val="single" w:color="C9D6CE" w:sz="2"/>
              <w:bottom w:val="single" w:color="C9D6CE" w:sz="2"/>
              <w:right w:val="single" w:color="C9D6CE" w:sz="2"/>
            </w:tcBorders>
            <w:shd w:fill="E8EF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Rotation effectuée (ancien secret inopérant)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2C5F4A"/>
          <w:sz w:val="30"/>
          <w:szCs w:val="30"/>
        </w:rPr>
        <w:t xml:space="preserve">13. Conclusion</w:t>
      </w:r>
    </w:p>
    <w:p>
      <w:pPr>
        <w:spacing w:after="120" w:line="276"/>
      </w:pPr>
      <w:r>
        <w:rPr>
          <w:sz w:val="21"/>
          <w:szCs w:val="21"/>
        </w:rPr>
        <w:t xml:space="preserve">La plateforme applique une défense en profondeur cohérente sur ses trois composants : authentification robuste, limitation de débit, en-têtes de sécurité, moindre privilège (conteneur non-root, utilisateur MySQL sans droits DDL, un seul port public), et une chaîne de livraison qui détecte automatiquement CVE et secrets.</w:t>
      </w:r>
    </w:p>
    <w:p>
      <w:pPr>
        <w:spacing w:after="120" w:line="276"/>
      </w:pPr>
      <w:r>
        <w:rPr>
          <w:sz w:val="21"/>
          <w:szCs w:val="21"/>
        </w:rPr>
        <w:t xml:space="preserve">Les écarts les plus significatifs concernent la conformité RGPD — traçabilité du consentement pour des données de santé, purge des journaux, portabilité — et sont hiérarchisés en tête des risques résiduels, garantissant leur suivi dans la durée.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/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CESIZen — Plan de sécurisation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671676656cdf3027cde3a3c667cdc94232a60f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2026-07-14T12:46:16.726Z</dcterms:created>
  <dcterms:modified xsi:type="dcterms:W3CDTF">2026-07-14T12:46:16.727Z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