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2C5F4A"/>
          <w:sz w:val="72"/>
          <w:szCs w:val="72"/>
        </w:rPr>
        <w:t xml:space="preserve">CESIZen</w:t>
      </w:r>
    </w:p>
    <w:p>
      <w:pPr>
        <w:spacing w:after="600"/>
        <w:jc w:val="center"/>
      </w:pPr>
      <w:r>
        <w:rPr>
          <w:i/>
          <w:iCs/>
          <w:color w:val="4B6B59"/>
          <w:sz w:val="24"/>
          <w:szCs w:val="24"/>
        </w:rPr>
        <w:t xml:space="preserve">Plateforme de bien-être numérique</w:t>
      </w:r>
    </w:p>
    <w:p>
      <w:pPr>
        <w:spacing w:before="400"/>
        <w:jc w:val="center"/>
      </w:pPr>
      <w:r>
        <w:rPr>
          <w:b/>
          <w:bCs/>
          <w:color w:val="1F2A24"/>
          <w:sz w:val="40"/>
          <w:szCs w:val="40"/>
        </w:rPr>
        <w:t xml:space="preserve">VEILLE TECHNOLOGIQUE</w:t>
      </w:r>
    </w:p>
    <w:p>
      <w:pPr>
        <w:spacing w:after="800"/>
        <w:jc w:val="center"/>
      </w:pPr>
      <w:r>
        <w:rPr>
          <w:color w:val="4B6B59"/>
          <w:sz w:val="22"/>
          <w:szCs w:val="22"/>
        </w:rPr>
        <w:t xml:space="preserve">Bloc de compétences 3 — Trois fiches de veille</w:t>
      </w:r>
    </w:p>
    <w:p>
      <w:pPr>
        <w:jc w:val="center"/>
      </w:pPr>
      <w:r>
        <w:rPr>
          <w:sz w:val="20"/>
          <w:szCs w:val="20"/>
        </w:rPr>
        <w:t xml:space="preserve">API Spring Boot · Front Next.js · Mobile Flutter</w:t>
      </w:r>
    </w:p>
    <w:p>
      <w:pPr>
        <w:spacing w:before="200"/>
        <w:jc w:val="center"/>
      </w:pPr>
      <w:r>
        <w:rPr>
          <w:color w:val="777777"/>
          <w:sz w:val="20"/>
          <w:szCs w:val="20"/>
        </w:rPr>
        <w:t xml:space="preserve">Version 1.0 — Juillet 2026</w:t>
      </w:r>
    </w:p>
    <w:p>
      <w:pPr>
        <w:pageBreakBefore/>
      </w:pPr>
    </w:p>
    <w:p>
      <w:pPr>
        <w:pStyle w:val="Heading1"/>
        <w:spacing w:after="160" w:before="320"/>
      </w:pPr>
      <w:r>
        <w:rPr>
          <w:b/>
          <w:bCs/>
          <w:color w:val="2C5F4A"/>
          <w:sz w:val="30"/>
          <w:szCs w:val="30"/>
        </w:rPr>
        <w:t xml:space="preserve">Méthodologie</w:t>
      </w:r>
    </w:p>
    <w:p>
      <w:pPr>
        <w:spacing w:after="120" w:line="276"/>
      </w:pPr>
      <w:r>
        <w:rPr>
          <w:sz w:val="21"/>
          <w:szCs w:val="21"/>
        </w:rPr>
        <w:t xml:space="preserve">La veille est structurée autour de sources officielles et de bases de vulnérabilités, matérialisée dans le projet par Dependabot et les scans Trivy/OWASP. Chaque fiche suit la même trame : </w:t>
      </w:r>
      <w:r>
        <w:rPr>
          <w:b/>
          <w:bCs/>
          <w:sz w:val="21"/>
          <w:szCs w:val="21"/>
        </w:rPr>
        <w:t xml:space="preserve">source datée</w:t>
      </w:r>
      <w:r>
        <w:rPr>
          <w:sz w:val="21"/>
          <w:szCs w:val="21"/>
        </w:rPr>
        <w:t xml:space="preserve">, </w:t>
      </w:r>
      <w:r>
        <w:rPr>
          <w:b/>
          <w:bCs/>
          <w:sz w:val="21"/>
          <w:szCs w:val="21"/>
        </w:rPr>
        <w:t xml:space="preserve">résumé</w:t>
      </w:r>
      <w:r>
        <w:rPr>
          <w:sz w:val="21"/>
          <w:szCs w:val="21"/>
        </w:rPr>
        <w:t xml:space="preserve">, </w:t>
      </w:r>
      <w:r>
        <w:rPr>
          <w:b/>
          <w:bCs/>
          <w:sz w:val="21"/>
          <w:szCs w:val="21"/>
        </w:rPr>
        <w:t xml:space="preserve">impact sur CESIZen</w:t>
      </w:r>
      <w:r>
        <w:rPr>
          <w:sz w:val="21"/>
          <w:szCs w:val="21"/>
        </w:rPr>
        <w:t xml:space="preserve">, </w:t>
      </w:r>
      <w:r>
        <w:rPr>
          <w:b/>
          <w:bCs/>
          <w:sz w:val="21"/>
          <w:szCs w:val="21"/>
        </w:rPr>
        <w:t xml:space="preserve">action prise</w:t>
      </w:r>
      <w:r>
        <w:rPr>
          <w:sz w:val="21"/>
          <w:szCs w:val="21"/>
        </w:rPr>
        <w:t xml:space="preserve">. Les trois sujets retenus correspondent à des évènements réels rencontrés pendant le projet.</w:t>
      </w:r>
    </w:p>
    <w:p>
      <w:pPr>
        <w:pageBreakBefore/>
      </w:pPr>
    </w:p>
    <w:p>
      <w:pPr>
        <w:pStyle w:val="Heading1"/>
        <w:spacing w:after="160" w:before="320"/>
      </w:pPr>
      <w:r>
        <w:rPr>
          <w:b/>
          <w:bCs/>
          <w:color w:val="2C5F4A"/>
          <w:sz w:val="30"/>
          <w:szCs w:val="30"/>
        </w:rPr>
        <w:t xml:space="preserve">Fiche 1 — Vulnérabilités Jackson (CVE-2026-54512 / 54513)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C9D6CE" w:sz="2"/>
              <w:left w:val="single" w:color="C9D6CE" w:sz="2"/>
              <w:bottom w:val="single" w:color="C9D6CE" w:sz="2"/>
              <w:right w:val="single" w:color="C9D6CE" w:sz="2"/>
            </w:tcBorders>
            <w:shd w:fill="4B6B59" w:color="auto" w:val="clear"/>
            <w:tcMar>
              <w:top w:type="dxa" w:w="60"/>
              <w:left w:type="dxa" w:w="100"/>
              <w:bottom w:type="dxa" w:w="60"/>
              <w:right w:type="dxa" w:w="100"/>
            </w:tcMar>
          </w:tcPr>
          <w:p>
            <w:r>
              <w:rPr>
                <w:b/>
                <w:bCs/>
                <w:color w:val="FFFFFF"/>
                <w:sz w:val="19"/>
                <w:szCs w:val="19"/>
              </w:rPr>
              <w:t xml:space="preserve">Champ</w:t>
            </w:r>
          </w:p>
        </w:tc>
        <w:tc>
          <w:tcPr>
            <w:tcW w:type="dxa" w:w="7226"/>
            <w:tcBorders>
              <w:top w:val="single" w:color="C9D6CE" w:sz="2"/>
              <w:left w:val="single" w:color="C9D6CE" w:sz="2"/>
              <w:bottom w:val="single" w:color="C9D6CE" w:sz="2"/>
              <w:right w:val="single" w:color="C9D6CE" w:sz="2"/>
            </w:tcBorders>
            <w:shd w:fill="4B6B59" w:color="auto" w:val="clear"/>
            <w:tcMar>
              <w:top w:type="dxa" w:w="60"/>
              <w:left w:type="dxa" w:w="100"/>
              <w:bottom w:type="dxa" w:w="60"/>
              <w:right w:type="dxa" w:w="100"/>
            </w:tcMar>
          </w:tcPr>
          <w:p>
            <w:r>
              <w:rPr>
                <w:b/>
                <w:bCs/>
                <w:color w:val="FFFFFF"/>
                <w:sz w:val="19"/>
                <w:szCs w:val="19"/>
              </w:rPr>
              <w:t xml:space="preserve">Contenu</w:t>
            </w:r>
          </w:p>
        </w:tc>
      </w:tr>
      <w:tr>
        <w:tc>
          <w:tcPr>
            <w:tcW w:type="dxa" w:w="1800"/>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Sujet</w:t>
            </w:r>
          </w:p>
        </w:tc>
        <w:tc>
          <w:tcPr>
            <w:tcW w:type="dxa" w:w="7226"/>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Désérialisation Jackson (jackson-databind)</w:t>
            </w:r>
          </w:p>
        </w:tc>
      </w:tr>
      <w:tr>
        <w:tc>
          <w:tcPr>
            <w:tcW w:type="dxa" w:w="1800"/>
            <w:tcBorders>
              <w:top w:val="single" w:color="C9D6CE" w:sz="2"/>
              <w:left w:val="single" w:color="C9D6CE" w:sz="2"/>
              <w:bottom w:val="single" w:color="C9D6CE" w:sz="2"/>
              <w:right w:val="single" w:color="C9D6CE" w:sz="2"/>
            </w:tcBorders>
            <w:shd w:fill="E8EFEA" w:color="auto" w:val="clear"/>
            <w:tcMar>
              <w:top w:type="dxa" w:w="50"/>
              <w:left w:type="dxa" w:w="100"/>
              <w:bottom w:type="dxa" w:w="50"/>
              <w:right w:type="dxa" w:w="100"/>
            </w:tcMar>
          </w:tcPr>
          <w:p>
            <w:r>
              <w:rPr>
                <w:sz w:val="19"/>
                <w:szCs w:val="19"/>
              </w:rPr>
              <w:t xml:space="preserve">Source</w:t>
            </w:r>
          </w:p>
        </w:tc>
        <w:tc>
          <w:tcPr>
            <w:tcW w:type="dxa" w:w="7226"/>
            <w:tcBorders>
              <w:top w:val="single" w:color="C9D6CE" w:sz="2"/>
              <w:left w:val="single" w:color="C9D6CE" w:sz="2"/>
              <w:bottom w:val="single" w:color="C9D6CE" w:sz="2"/>
              <w:right w:val="single" w:color="C9D6CE" w:sz="2"/>
            </w:tcBorders>
            <w:shd w:fill="E8EFEA" w:color="auto" w:val="clear"/>
            <w:tcMar>
              <w:top w:type="dxa" w:w="50"/>
              <w:left w:type="dxa" w:w="100"/>
              <w:bottom w:type="dxa" w:w="50"/>
              <w:right w:type="dxa" w:w="100"/>
            </w:tcMar>
          </w:tcPr>
          <w:p>
            <w:r>
              <w:rPr>
                <w:sz w:val="19"/>
                <w:szCs w:val="19"/>
              </w:rPr>
              <w:t xml:space="preserve">Base d'avis GitHub / NVD — remontée par Trivy en CI, juillet 2026</w:t>
            </w:r>
          </w:p>
        </w:tc>
      </w:tr>
      <w:tr>
        <w:tc>
          <w:tcPr>
            <w:tcW w:type="dxa" w:w="1800"/>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Références</w:t>
            </w:r>
          </w:p>
        </w:tc>
        <w:tc>
          <w:tcPr>
            <w:tcW w:type="dxa" w:w="7226"/>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CVE-2026-54512, CVE-2026-54513</w:t>
            </w:r>
          </w:p>
        </w:tc>
      </w:tr>
      <w:tr>
        <w:tc>
          <w:tcPr>
            <w:tcW w:type="dxa" w:w="1800"/>
            <w:tcBorders>
              <w:top w:val="single" w:color="C9D6CE" w:sz="2"/>
              <w:left w:val="single" w:color="C9D6CE" w:sz="2"/>
              <w:bottom w:val="single" w:color="C9D6CE" w:sz="2"/>
              <w:right w:val="single" w:color="C9D6CE" w:sz="2"/>
            </w:tcBorders>
            <w:shd w:fill="E8EFEA" w:color="auto" w:val="clear"/>
            <w:tcMar>
              <w:top w:type="dxa" w:w="50"/>
              <w:left w:type="dxa" w:w="100"/>
              <w:bottom w:type="dxa" w:w="50"/>
              <w:right w:type="dxa" w:w="100"/>
            </w:tcMar>
          </w:tcPr>
          <w:p>
            <w:r>
              <w:rPr>
                <w:sz w:val="19"/>
                <w:szCs w:val="19"/>
              </w:rPr>
              <w:t xml:space="preserve">Sévérité</w:t>
            </w:r>
          </w:p>
        </w:tc>
        <w:tc>
          <w:tcPr>
            <w:tcW w:type="dxa" w:w="7226"/>
            <w:tcBorders>
              <w:top w:val="single" w:color="C9D6CE" w:sz="2"/>
              <w:left w:val="single" w:color="C9D6CE" w:sz="2"/>
              <w:bottom w:val="single" w:color="C9D6CE" w:sz="2"/>
              <w:right w:val="single" w:color="C9D6CE" w:sz="2"/>
            </w:tcBorders>
            <w:shd w:fill="E8EFEA" w:color="auto" w:val="clear"/>
            <w:tcMar>
              <w:top w:type="dxa" w:w="50"/>
              <w:left w:type="dxa" w:w="100"/>
              <w:bottom w:type="dxa" w:w="50"/>
              <w:right w:type="dxa" w:w="100"/>
            </w:tcMar>
          </w:tcPr>
          <w:p>
            <w:r>
              <w:rPr>
                <w:sz w:val="19"/>
                <w:szCs w:val="19"/>
              </w:rPr>
              <w:t xml:space="preserve">CRITICAL / HIGH</w:t>
            </w:r>
          </w:p>
        </w:tc>
      </w:tr>
    </w:tbl>
    <w:p>
      <w:pPr>
        <w:pStyle w:val="Heading2"/>
        <w:spacing w:after="120" w:before="220"/>
      </w:pPr>
      <w:r>
        <w:rPr>
          <w:b/>
          <w:bCs/>
          <w:color w:val="4B6B59"/>
          <w:sz w:val="24"/>
          <w:szCs w:val="24"/>
        </w:rPr>
        <w:t xml:space="preserve">Résumé</w:t>
      </w:r>
    </w:p>
    <w:p>
      <w:pPr>
        <w:spacing w:after="120" w:line="276"/>
      </w:pPr>
      <w:r>
        <w:rPr>
          <w:sz w:val="21"/>
          <w:szCs w:val="21"/>
        </w:rPr>
        <w:t xml:space="preserve">Deux vulnérabilités affectant jackson-databind, bibliothèque de sérialisation JSON transitive de Spring Boot. Exploitables lors de la désérialisation de données non fiables, elles peuvent conduire à un comportement dangereux côté serveur.</w:t>
      </w:r>
    </w:p>
    <w:p>
      <w:pPr>
        <w:pStyle w:val="Heading2"/>
        <w:spacing w:after="120" w:before="220"/>
      </w:pPr>
      <w:r>
        <w:rPr>
          <w:b/>
          <w:bCs/>
          <w:color w:val="4B6B59"/>
          <w:sz w:val="24"/>
          <w:szCs w:val="24"/>
        </w:rPr>
        <w:t xml:space="preserve">Impact sur CESIZen</w:t>
      </w:r>
    </w:p>
    <w:p>
      <w:pPr>
        <w:spacing w:after="120" w:line="276"/>
      </w:pPr>
      <w:r>
        <w:rPr>
          <w:sz w:val="21"/>
          <w:szCs w:val="21"/>
        </w:rPr>
        <w:t xml:space="preserve">L'API expose des endpoints REST qui désérialisent du JSON entrant. La version de Jackson héritée du parent Spring Boot était vulnérable. Le scan Trivy de la CI a fait </w:t>
      </w:r>
      <w:r>
        <w:rPr>
          <w:b/>
          <w:bCs/>
          <w:sz w:val="21"/>
          <w:szCs w:val="21"/>
        </w:rPr>
        <w:t xml:space="preserve">échouer le build</w:t>
      </w:r>
      <w:r>
        <w:rPr>
          <w:sz w:val="21"/>
          <w:szCs w:val="21"/>
        </w:rPr>
        <w:t xml:space="preserve">, révélant la CVE avant toute mise en production.</w:t>
      </w:r>
    </w:p>
    <w:p>
      <w:pPr>
        <w:pStyle w:val="Heading2"/>
        <w:spacing w:after="120" w:before="220"/>
      </w:pPr>
      <w:r>
        <w:rPr>
          <w:b/>
          <w:bCs/>
          <w:color w:val="4B6B59"/>
          <w:sz w:val="24"/>
          <w:szCs w:val="24"/>
        </w:rPr>
        <w:t xml:space="preserve">Action prise</w:t>
      </w:r>
    </w:p>
    <w:p>
      <w:pPr>
        <w:spacing w:after="120" w:line="276"/>
      </w:pPr>
      <w:r>
        <w:rPr>
          <w:sz w:val="21"/>
          <w:szCs w:val="21"/>
        </w:rPr>
        <w:t xml:space="preserve">Forçage des versions corrigées par import de BOM dans </w:t>
      </w:r>
      <w:r>
        <w:rPr>
          <w:rFonts w:ascii="Consolas" w:cs="Consolas" w:eastAsia="Consolas" w:hAnsi="Consolas"/>
          <w:color w:val="2C5F4A"/>
          <w:sz w:val="19"/>
          <w:szCs w:val="19"/>
        </w:rPr>
        <w:t xml:space="preserve">pom.xml</w:t>
      </w:r>
      <w:r>
        <w:rPr>
          <w:sz w:val="21"/>
          <w:szCs w:val="21"/>
        </w:rPr>
        <w:t xml:space="preserve"> : </w:t>
      </w:r>
      <w:r>
        <w:rPr>
          <w:rFonts w:ascii="Consolas" w:cs="Consolas" w:eastAsia="Consolas" w:hAnsi="Consolas"/>
          <w:color w:val="2C5F4A"/>
          <w:sz w:val="19"/>
          <w:szCs w:val="19"/>
        </w:rPr>
        <w:t xml:space="preserve">com.fasterxml.jackson:jackson-bom:2.21.4</w:t>
      </w:r>
      <w:r>
        <w:rPr>
          <w:sz w:val="21"/>
          <w:szCs w:val="21"/>
        </w:rPr>
        <w:t xml:space="preserve"> et </w:t>
      </w:r>
      <w:r>
        <w:rPr>
          <w:rFonts w:ascii="Consolas" w:cs="Consolas" w:eastAsia="Consolas" w:hAnsi="Consolas"/>
          <w:color w:val="2C5F4A"/>
          <w:sz w:val="19"/>
          <w:szCs w:val="19"/>
        </w:rPr>
        <w:t xml:space="preserve">tools.jackson:jackson-bom:3.1.4</w:t>
      </w:r>
      <w:r>
        <w:rPr>
          <w:sz w:val="21"/>
          <w:szCs w:val="21"/>
        </w:rPr>
        <w:t xml:space="preserve"> en </w:t>
      </w:r>
      <w:r>
        <w:rPr>
          <w:rFonts w:ascii="Consolas" w:cs="Consolas" w:eastAsia="Consolas" w:hAnsi="Consolas"/>
          <w:color w:val="2C5F4A"/>
          <w:sz w:val="19"/>
          <w:szCs w:val="19"/>
        </w:rPr>
        <w:t xml:space="preserve">&lt;dependencyManagement&gt;</w:t>
      </w:r>
      <w:r>
        <w:rPr>
          <w:sz w:val="21"/>
          <w:szCs w:val="21"/>
        </w:rPr>
        <w:t xml:space="preserve">. Point technique notable : un </w:t>
      </w:r>
      <w:r>
        <w:rPr>
          <w:rFonts w:ascii="Consolas" w:cs="Consolas" w:eastAsia="Consolas" w:hAnsi="Consolas"/>
          <w:color w:val="2C5F4A"/>
          <w:sz w:val="19"/>
          <w:szCs w:val="19"/>
        </w:rPr>
        <w:t xml:space="preserve">&lt;dependencyManagement&gt;</w:t>
      </w:r>
      <w:r>
        <w:rPr>
          <w:sz w:val="21"/>
          <w:szCs w:val="21"/>
        </w:rPr>
        <w:t xml:space="preserve"> déclaré dans le projet </w:t>
      </w:r>
      <w:r>
        <w:rPr>
          <w:b/>
          <w:bCs/>
          <w:sz w:val="21"/>
          <w:szCs w:val="21"/>
        </w:rPr>
        <w:t xml:space="preserve">prime sur le BOM du parent</w:t>
      </w:r>
      <w:r>
        <w:rPr>
          <w:sz w:val="21"/>
          <w:szCs w:val="21"/>
        </w:rPr>
        <w:t xml:space="preserve"> Spring Boot — seul moyen propre de forcer une version transitive sans figer chaque dépendance.</w:t>
      </w:r>
    </w:p>
    <w:p>
      <w:pPr>
        <w:pageBreakBefore/>
      </w:pPr>
    </w:p>
    <w:p>
      <w:pPr>
        <w:pStyle w:val="Heading1"/>
        <w:spacing w:after="160" w:before="320"/>
      </w:pPr>
      <w:r>
        <w:rPr>
          <w:b/>
          <w:bCs/>
          <w:color w:val="2C5F4A"/>
          <w:sz w:val="30"/>
          <w:szCs w:val="30"/>
        </w:rPr>
        <w:t xml:space="preserve">Fiche 2 — Spring Boot 4 &amp; Spring Security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C9D6CE" w:sz="2"/>
              <w:left w:val="single" w:color="C9D6CE" w:sz="2"/>
              <w:bottom w:val="single" w:color="C9D6CE" w:sz="2"/>
              <w:right w:val="single" w:color="C9D6CE" w:sz="2"/>
            </w:tcBorders>
            <w:shd w:fill="4B6B59" w:color="auto" w:val="clear"/>
            <w:tcMar>
              <w:top w:type="dxa" w:w="60"/>
              <w:left w:type="dxa" w:w="100"/>
              <w:bottom w:type="dxa" w:w="60"/>
              <w:right w:type="dxa" w:w="100"/>
            </w:tcMar>
          </w:tcPr>
          <w:p>
            <w:r>
              <w:rPr>
                <w:b/>
                <w:bCs/>
                <w:color w:val="FFFFFF"/>
                <w:sz w:val="19"/>
                <w:szCs w:val="19"/>
              </w:rPr>
              <w:t xml:space="preserve">Champ</w:t>
            </w:r>
          </w:p>
        </w:tc>
        <w:tc>
          <w:tcPr>
            <w:tcW w:type="dxa" w:w="7226"/>
            <w:tcBorders>
              <w:top w:val="single" w:color="C9D6CE" w:sz="2"/>
              <w:left w:val="single" w:color="C9D6CE" w:sz="2"/>
              <w:bottom w:val="single" w:color="C9D6CE" w:sz="2"/>
              <w:right w:val="single" w:color="C9D6CE" w:sz="2"/>
            </w:tcBorders>
            <w:shd w:fill="4B6B59" w:color="auto" w:val="clear"/>
            <w:tcMar>
              <w:top w:type="dxa" w:w="60"/>
              <w:left w:type="dxa" w:w="100"/>
              <w:bottom w:type="dxa" w:w="60"/>
              <w:right w:type="dxa" w:w="100"/>
            </w:tcMar>
          </w:tcPr>
          <w:p>
            <w:r>
              <w:rPr>
                <w:b/>
                <w:bCs/>
                <w:color w:val="FFFFFF"/>
                <w:sz w:val="19"/>
                <w:szCs w:val="19"/>
              </w:rPr>
              <w:t xml:space="preserve">Contenu</w:t>
            </w:r>
          </w:p>
        </w:tc>
      </w:tr>
      <w:tr>
        <w:tc>
          <w:tcPr>
            <w:tcW w:type="dxa" w:w="1800"/>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Sujet</w:t>
            </w:r>
          </w:p>
        </w:tc>
        <w:tc>
          <w:tcPr>
            <w:tcW w:type="dxa" w:w="7226"/>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Montée de version majeure du socle backend</w:t>
            </w:r>
          </w:p>
        </w:tc>
      </w:tr>
      <w:tr>
        <w:tc>
          <w:tcPr>
            <w:tcW w:type="dxa" w:w="1800"/>
            <w:tcBorders>
              <w:top w:val="single" w:color="C9D6CE" w:sz="2"/>
              <w:left w:val="single" w:color="C9D6CE" w:sz="2"/>
              <w:bottom w:val="single" w:color="C9D6CE" w:sz="2"/>
              <w:right w:val="single" w:color="C9D6CE" w:sz="2"/>
            </w:tcBorders>
            <w:shd w:fill="E8EFEA" w:color="auto" w:val="clear"/>
            <w:tcMar>
              <w:top w:type="dxa" w:w="50"/>
              <w:left w:type="dxa" w:w="100"/>
              <w:bottom w:type="dxa" w:w="50"/>
              <w:right w:type="dxa" w:w="100"/>
            </w:tcMar>
          </w:tcPr>
          <w:p>
            <w:r>
              <w:rPr>
                <w:sz w:val="19"/>
                <w:szCs w:val="19"/>
              </w:rPr>
              <w:t xml:space="preserve">Source</w:t>
            </w:r>
          </w:p>
        </w:tc>
        <w:tc>
          <w:tcPr>
            <w:tcW w:type="dxa" w:w="7226"/>
            <w:tcBorders>
              <w:top w:val="single" w:color="C9D6CE" w:sz="2"/>
              <w:left w:val="single" w:color="C9D6CE" w:sz="2"/>
              <w:bottom w:val="single" w:color="C9D6CE" w:sz="2"/>
              <w:right w:val="single" w:color="C9D6CE" w:sz="2"/>
            </w:tcBorders>
            <w:shd w:fill="E8EFEA" w:color="auto" w:val="clear"/>
            <w:tcMar>
              <w:top w:type="dxa" w:w="50"/>
              <w:left w:type="dxa" w:w="100"/>
              <w:bottom w:type="dxa" w:w="50"/>
              <w:right w:type="dxa" w:w="100"/>
            </w:tcMar>
          </w:tcPr>
          <w:p>
            <w:r>
              <w:rPr>
                <w:sz w:val="19"/>
                <w:szCs w:val="19"/>
              </w:rPr>
              <w:t xml:space="preserve">spring.io/blog, notes de version Spring Boot 4.0.x — 2026</w:t>
            </w:r>
          </w:p>
        </w:tc>
      </w:tr>
      <w:tr>
        <w:tc>
          <w:tcPr>
            <w:tcW w:type="dxa" w:w="1800"/>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Nature</w:t>
            </w:r>
          </w:p>
        </w:tc>
        <w:tc>
          <w:tcPr>
            <w:tcW w:type="dxa" w:w="7226"/>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Évolution de framework</w:t>
            </w:r>
          </w:p>
        </w:tc>
      </w:tr>
    </w:tbl>
    <w:p>
      <w:pPr>
        <w:pStyle w:val="Heading2"/>
        <w:spacing w:after="120" w:before="220"/>
      </w:pPr>
      <w:r>
        <w:rPr>
          <w:b/>
          <w:bCs/>
          <w:color w:val="4B6B59"/>
          <w:sz w:val="24"/>
          <w:szCs w:val="24"/>
        </w:rPr>
        <w:t xml:space="preserve">Résumé</w:t>
      </w:r>
    </w:p>
    <w:p>
      <w:pPr>
        <w:spacing w:after="120" w:line="276"/>
      </w:pPr>
      <w:r>
        <w:rPr>
          <w:sz w:val="21"/>
          <w:szCs w:val="21"/>
        </w:rPr>
        <w:t xml:space="preserve">Spring Boot 4 s'appuie sur Spring Framework 7 et Spring Security 6, avec Hibernate 7. Plusieurs changements de comportement impactent la configuration : la détection automatique du dialect Hibernate disparaît, et l'API de configuration des en-têtes de sécurité évolue.</w:t>
      </w:r>
    </w:p>
    <w:p>
      <w:pPr>
        <w:pStyle w:val="Heading2"/>
        <w:spacing w:after="120" w:before="220"/>
      </w:pPr>
      <w:r>
        <w:rPr>
          <w:b/>
          <w:bCs/>
          <w:color w:val="4B6B59"/>
          <w:sz w:val="24"/>
          <w:szCs w:val="24"/>
        </w:rPr>
        <w:t xml:space="preserve">Impact sur CESIZen</w:t>
      </w:r>
    </w:p>
    <w:p>
      <w:pPr>
        <w:pStyle w:val="ListParagraph"/>
        <w:numPr>
          <w:ilvl w:val="0"/>
          <w:numId w:val="2"/>
        </w:numPr>
        <w:spacing w:after="80"/>
      </w:pPr>
      <w:r>
        <w:rPr>
          <w:sz w:val="21"/>
          <w:szCs w:val="21"/>
        </w:rPr>
        <w:t xml:space="preserve">Hibernate 7 ne détecte plus le dialect : ajout explicite de </w:t>
      </w:r>
      <w:r>
        <w:rPr>
          <w:rFonts w:ascii="Consolas" w:cs="Consolas" w:eastAsia="Consolas" w:hAnsi="Consolas"/>
          <w:color w:val="2C5F4A"/>
          <w:sz w:val="19"/>
          <w:szCs w:val="19"/>
        </w:rPr>
        <w:t xml:space="preserve">spring.jpa.database-platform=org.hibernate.dialect.MySQLDialect</w:t>
      </w:r>
      <w:r>
        <w:rPr>
          <w:sz w:val="21"/>
          <w:szCs w:val="21"/>
        </w:rPr>
        <w:t xml:space="preserve">.</w:t>
      </w:r>
    </w:p>
    <w:p>
      <w:pPr>
        <w:pStyle w:val="ListParagraph"/>
        <w:numPr>
          <w:ilvl w:val="0"/>
          <w:numId w:val="2"/>
        </w:numPr>
        <w:spacing w:after="80"/>
      </w:pPr>
      <w:r>
        <w:rPr>
          <w:sz w:val="21"/>
          <w:szCs w:val="21"/>
        </w:rPr>
        <w:t xml:space="preserve">Spring Security 6 permet de configurer nativement les en-têtes (</w:t>
      </w:r>
      <w:r>
        <w:rPr>
          <w:rFonts w:ascii="Consolas" w:cs="Consolas" w:eastAsia="Consolas" w:hAnsi="Consolas"/>
          <w:color w:val="2C5F4A"/>
          <w:sz w:val="19"/>
          <w:szCs w:val="19"/>
        </w:rPr>
        <w:t xml:space="preserve">permissionsPolicy</w:t>
      </w:r>
      <w:r>
        <w:rPr>
          <w:sz w:val="21"/>
          <w:szCs w:val="21"/>
        </w:rPr>
        <w:t xml:space="preserve">, </w:t>
      </w:r>
      <w:r>
        <w:rPr>
          <w:rFonts w:ascii="Consolas" w:cs="Consolas" w:eastAsia="Consolas" w:hAnsi="Consolas"/>
          <w:color w:val="2C5F4A"/>
          <w:sz w:val="19"/>
          <w:szCs w:val="19"/>
        </w:rPr>
        <w:t xml:space="preserve">contentSecurityPolicy</w:t>
      </w:r>
      <w:r>
        <w:rPr>
          <w:sz w:val="21"/>
          <w:szCs w:val="21"/>
        </w:rPr>
        <w:t xml:space="preserve">) — exploité pour le durcissement HTTP.</w:t>
      </w:r>
    </w:p>
    <w:p>
      <w:pPr>
        <w:pStyle w:val="ListParagraph"/>
        <w:numPr>
          <w:ilvl w:val="0"/>
          <w:numId w:val="2"/>
        </w:numPr>
        <w:spacing w:after="80"/>
      </w:pPr>
      <w:r>
        <w:rPr>
          <w:sz w:val="21"/>
          <w:szCs w:val="21"/>
        </w:rPr>
        <w:t xml:space="preserve">Tomcat embarqué mis à jour : occasion de forcer 11.0.22 pour corriger des CVE.</w:t>
      </w:r>
    </w:p>
    <w:p>
      <w:pPr>
        <w:pStyle w:val="Heading2"/>
        <w:spacing w:after="120" w:before="220"/>
      </w:pPr>
      <w:r>
        <w:rPr>
          <w:b/>
          <w:bCs/>
          <w:color w:val="4B6B59"/>
          <w:sz w:val="24"/>
          <w:szCs w:val="24"/>
        </w:rPr>
        <w:t xml:space="preserve">Action prise</w:t>
      </w:r>
    </w:p>
    <w:p>
      <w:pPr>
        <w:spacing w:after="120" w:line="276"/>
      </w:pPr>
      <w:r>
        <w:rPr>
          <w:sz w:val="21"/>
          <w:szCs w:val="21"/>
        </w:rPr>
        <w:t xml:space="preserve">Configuration adaptée et testée ; en-têtes de sécurité posés via la nouvelle API. La montée de version, loin d'être subie, a été l'occasion de renforcer la posture de sécurité (en-têtes natifs, Tomcat récent).</w:t>
      </w:r>
    </w:p>
    <w:p>
      <w:pPr>
        <w:pageBreakBefore/>
      </w:pPr>
    </w:p>
    <w:p>
      <w:pPr>
        <w:pStyle w:val="Heading1"/>
        <w:spacing w:after="160" w:before="320"/>
      </w:pPr>
      <w:r>
        <w:rPr>
          <w:b/>
          <w:bCs/>
          <w:color w:val="2C5F4A"/>
          <w:sz w:val="30"/>
          <w:szCs w:val="30"/>
        </w:rPr>
        <w:t xml:space="preserve">Fiche 3 — Vulnérabilité Next.js 16 (contournement de middleware)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C9D6CE" w:sz="2"/>
              <w:left w:val="single" w:color="C9D6CE" w:sz="2"/>
              <w:bottom w:val="single" w:color="C9D6CE" w:sz="2"/>
              <w:right w:val="single" w:color="C9D6CE" w:sz="2"/>
            </w:tcBorders>
            <w:shd w:fill="4B6B59" w:color="auto" w:val="clear"/>
            <w:tcMar>
              <w:top w:type="dxa" w:w="60"/>
              <w:left w:type="dxa" w:w="100"/>
              <w:bottom w:type="dxa" w:w="60"/>
              <w:right w:type="dxa" w:w="100"/>
            </w:tcMar>
          </w:tcPr>
          <w:p>
            <w:r>
              <w:rPr>
                <w:b/>
                <w:bCs/>
                <w:color w:val="FFFFFF"/>
                <w:sz w:val="19"/>
                <w:szCs w:val="19"/>
              </w:rPr>
              <w:t xml:space="preserve">Champ</w:t>
            </w:r>
          </w:p>
        </w:tc>
        <w:tc>
          <w:tcPr>
            <w:tcW w:type="dxa" w:w="7226"/>
            <w:tcBorders>
              <w:top w:val="single" w:color="C9D6CE" w:sz="2"/>
              <w:left w:val="single" w:color="C9D6CE" w:sz="2"/>
              <w:bottom w:val="single" w:color="C9D6CE" w:sz="2"/>
              <w:right w:val="single" w:color="C9D6CE" w:sz="2"/>
            </w:tcBorders>
            <w:shd w:fill="4B6B59" w:color="auto" w:val="clear"/>
            <w:tcMar>
              <w:top w:type="dxa" w:w="60"/>
              <w:left w:type="dxa" w:w="100"/>
              <w:bottom w:type="dxa" w:w="60"/>
              <w:right w:type="dxa" w:w="100"/>
            </w:tcMar>
          </w:tcPr>
          <w:p>
            <w:r>
              <w:rPr>
                <w:b/>
                <w:bCs/>
                <w:color w:val="FFFFFF"/>
                <w:sz w:val="19"/>
                <w:szCs w:val="19"/>
              </w:rPr>
              <w:t xml:space="preserve">Contenu</w:t>
            </w:r>
          </w:p>
        </w:tc>
      </w:tr>
      <w:tr>
        <w:tc>
          <w:tcPr>
            <w:tcW w:type="dxa" w:w="1800"/>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Sujet</w:t>
            </w:r>
          </w:p>
        </w:tc>
        <w:tc>
          <w:tcPr>
            <w:tcW w:type="dxa" w:w="7226"/>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Contournement de middleware Next.js</w:t>
            </w:r>
          </w:p>
        </w:tc>
      </w:tr>
      <w:tr>
        <w:tc>
          <w:tcPr>
            <w:tcW w:type="dxa" w:w="1800"/>
            <w:tcBorders>
              <w:top w:val="single" w:color="C9D6CE" w:sz="2"/>
              <w:left w:val="single" w:color="C9D6CE" w:sz="2"/>
              <w:bottom w:val="single" w:color="C9D6CE" w:sz="2"/>
              <w:right w:val="single" w:color="C9D6CE" w:sz="2"/>
            </w:tcBorders>
            <w:shd w:fill="E8EFEA" w:color="auto" w:val="clear"/>
            <w:tcMar>
              <w:top w:type="dxa" w:w="50"/>
              <w:left w:type="dxa" w:w="100"/>
              <w:bottom w:type="dxa" w:w="50"/>
              <w:right w:type="dxa" w:w="100"/>
            </w:tcMar>
          </w:tcPr>
          <w:p>
            <w:r>
              <w:rPr>
                <w:sz w:val="19"/>
                <w:szCs w:val="19"/>
              </w:rPr>
              <w:t xml:space="preserve">Source</w:t>
            </w:r>
          </w:p>
        </w:tc>
        <w:tc>
          <w:tcPr>
            <w:tcW w:type="dxa" w:w="7226"/>
            <w:tcBorders>
              <w:top w:val="single" w:color="C9D6CE" w:sz="2"/>
              <w:left w:val="single" w:color="C9D6CE" w:sz="2"/>
              <w:bottom w:val="single" w:color="C9D6CE" w:sz="2"/>
              <w:right w:val="single" w:color="C9D6CE" w:sz="2"/>
            </w:tcBorders>
            <w:shd w:fill="E8EFEA" w:color="auto" w:val="clear"/>
            <w:tcMar>
              <w:top w:type="dxa" w:w="50"/>
              <w:left w:type="dxa" w:w="100"/>
              <w:bottom w:type="dxa" w:w="50"/>
              <w:right w:type="dxa" w:w="100"/>
            </w:tcMar>
          </w:tcPr>
          <w:p>
            <w:r>
              <w:rPr>
                <w:sz w:val="19"/>
                <w:szCs w:val="19"/>
              </w:rPr>
              <w:t xml:space="preserve">Base d'avis GitHub — détectée par pnpm audit / Trivy, juillet 2026</w:t>
            </w:r>
          </w:p>
        </w:tc>
      </w:tr>
      <w:tr>
        <w:tc>
          <w:tcPr>
            <w:tcW w:type="dxa" w:w="1800"/>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Références</w:t>
            </w:r>
          </w:p>
        </w:tc>
        <w:tc>
          <w:tcPr>
            <w:tcW w:type="dxa" w:w="7226"/>
            <w:tcBorders>
              <w:top w:val="single" w:color="C9D6CE" w:sz="2"/>
              <w:left w:val="single" w:color="C9D6CE" w:sz="2"/>
              <w:bottom w:val="single" w:color="C9D6CE" w:sz="2"/>
              <w:right w:val="single" w:color="C9D6CE" w:sz="2"/>
            </w:tcBorders>
            <w:tcMar>
              <w:top w:type="dxa" w:w="50"/>
              <w:left w:type="dxa" w:w="100"/>
              <w:bottom w:type="dxa" w:w="50"/>
              <w:right w:type="dxa" w:w="100"/>
            </w:tcMar>
          </w:tcPr>
          <w:p>
            <w:r>
              <w:rPr>
                <w:sz w:val="19"/>
                <w:szCs w:val="19"/>
              </w:rPr>
              <w:t xml:space="preserve">GHSA-36qx-fr4f-26g5 (et apparentées)</w:t>
            </w:r>
          </w:p>
        </w:tc>
      </w:tr>
      <w:tr>
        <w:tc>
          <w:tcPr>
            <w:tcW w:type="dxa" w:w="1800"/>
            <w:tcBorders>
              <w:top w:val="single" w:color="C9D6CE" w:sz="2"/>
              <w:left w:val="single" w:color="C9D6CE" w:sz="2"/>
              <w:bottom w:val="single" w:color="C9D6CE" w:sz="2"/>
              <w:right w:val="single" w:color="C9D6CE" w:sz="2"/>
            </w:tcBorders>
            <w:shd w:fill="E8EFEA" w:color="auto" w:val="clear"/>
            <w:tcMar>
              <w:top w:type="dxa" w:w="50"/>
              <w:left w:type="dxa" w:w="100"/>
              <w:bottom w:type="dxa" w:w="50"/>
              <w:right w:type="dxa" w:w="100"/>
            </w:tcMar>
          </w:tcPr>
          <w:p>
            <w:r>
              <w:rPr>
                <w:sz w:val="19"/>
                <w:szCs w:val="19"/>
              </w:rPr>
              <w:t xml:space="preserve">Sévérité</w:t>
            </w:r>
          </w:p>
        </w:tc>
        <w:tc>
          <w:tcPr>
            <w:tcW w:type="dxa" w:w="7226"/>
            <w:tcBorders>
              <w:top w:val="single" w:color="C9D6CE" w:sz="2"/>
              <w:left w:val="single" w:color="C9D6CE" w:sz="2"/>
              <w:bottom w:val="single" w:color="C9D6CE" w:sz="2"/>
              <w:right w:val="single" w:color="C9D6CE" w:sz="2"/>
            </w:tcBorders>
            <w:shd w:fill="E8EFEA" w:color="auto" w:val="clear"/>
            <w:tcMar>
              <w:top w:type="dxa" w:w="50"/>
              <w:left w:type="dxa" w:w="100"/>
              <w:bottom w:type="dxa" w:w="50"/>
              <w:right w:type="dxa" w:w="100"/>
            </w:tcMar>
          </w:tcPr>
          <w:p>
            <w:r>
              <w:rPr>
                <w:sz w:val="19"/>
                <w:szCs w:val="19"/>
              </w:rPr>
              <w:t xml:space="preserve">HIGH — corrigée en 16.2.5+</w:t>
            </w:r>
          </w:p>
        </w:tc>
      </w:tr>
    </w:tbl>
    <w:p>
      <w:pPr>
        <w:pStyle w:val="Heading2"/>
        <w:spacing w:after="120" w:before="220"/>
      </w:pPr>
      <w:r>
        <w:rPr>
          <w:b/>
          <w:bCs/>
          <w:color w:val="4B6B59"/>
          <w:sz w:val="24"/>
          <w:szCs w:val="24"/>
        </w:rPr>
        <w:t xml:space="preserve">Résumé</w:t>
      </w:r>
    </w:p>
    <w:p>
      <w:pPr>
        <w:spacing w:after="120" w:line="276"/>
      </w:pPr>
      <w:r>
        <w:rPr>
          <w:sz w:val="21"/>
          <w:szCs w:val="21"/>
        </w:rPr>
        <w:t xml:space="preserve">Next.js 16.2.2 (version alors utilisée par le front) portait plusieurs vulnérabilités de sévérité HIGH, dont un contournement de middleware permettant, dans certaines configurations, d'atteindre des routes normalement protégées. Corrigé à partir de la 16.2.5.</w:t>
      </w:r>
    </w:p>
    <w:p>
      <w:pPr>
        <w:pStyle w:val="Heading2"/>
        <w:spacing w:after="120" w:before="220"/>
      </w:pPr>
      <w:r>
        <w:rPr>
          <w:b/>
          <w:bCs/>
          <w:color w:val="4B6B59"/>
          <w:sz w:val="24"/>
          <w:szCs w:val="24"/>
        </w:rPr>
        <w:t xml:space="preserve">Impact sur CESIZen</w:t>
      </w:r>
    </w:p>
    <w:p>
      <w:pPr>
        <w:spacing w:after="120" w:line="276"/>
      </w:pPr>
      <w:r>
        <w:rPr>
          <w:sz w:val="21"/>
          <w:szCs w:val="21"/>
        </w:rPr>
        <w:t xml:space="preserve">Le front Next.js s'appuie sur le routage pour protéger l'espace d'administration. Le scan de sécurité de la CI web a remonté </w:t>
      </w:r>
      <w:r>
        <w:rPr>
          <w:b/>
          <w:bCs/>
          <w:sz w:val="21"/>
          <w:szCs w:val="21"/>
        </w:rPr>
        <w:t xml:space="preserve">huit vulnérabilités HIGH</w:t>
      </w:r>
      <w:r>
        <w:rPr>
          <w:sz w:val="21"/>
          <w:szCs w:val="21"/>
        </w:rPr>
        <w:t xml:space="preserve"> dans Next.js, dont le step Trivy bloquant aurait fait échouer toute livraison.</w:t>
      </w:r>
    </w:p>
    <w:p>
      <w:pPr>
        <w:pStyle w:val="Heading2"/>
        <w:spacing w:after="120" w:before="220"/>
      </w:pPr>
      <w:r>
        <w:rPr>
          <w:b/>
          <w:bCs/>
          <w:color w:val="4B6B59"/>
          <w:sz w:val="24"/>
          <w:szCs w:val="24"/>
        </w:rPr>
        <w:t xml:space="preserve">Action prise</w:t>
      </w:r>
    </w:p>
    <w:p>
      <w:pPr>
        <w:spacing w:after="120" w:line="276"/>
      </w:pPr>
      <w:r>
        <w:rPr>
          <w:sz w:val="21"/>
          <w:szCs w:val="21"/>
        </w:rPr>
        <w:t xml:space="preserve">Montée de Next.js en </w:t>
      </w:r>
      <w:r>
        <w:rPr>
          <w:rFonts w:ascii="Consolas" w:cs="Consolas" w:eastAsia="Consolas" w:hAnsi="Consolas"/>
          <w:color w:val="2C5F4A"/>
          <w:sz w:val="19"/>
          <w:szCs w:val="19"/>
        </w:rPr>
        <w:t xml:space="preserve">16.2.10</w:t>
      </w:r>
      <w:r>
        <w:rPr>
          <w:sz w:val="21"/>
          <w:szCs w:val="21"/>
        </w:rPr>
        <w:t xml:space="preserve"> (et de l'outillage associé : eslint-config-next, postcss), build et tests revérifiés. Les huit CVE HIGH ont disparu. Une CVE moderate résiduelle (postcss embarqué dans le toolchain interne de Next) subsiste sous le seuil bloquant et reste sous surveillance. Cet épisode illustre la valeur d'un scan de dépendances </w:t>
      </w:r>
      <w:r>
        <w:rPr>
          <w:b/>
          <w:bCs/>
          <w:sz w:val="21"/>
          <w:szCs w:val="21"/>
        </w:rPr>
        <w:t xml:space="preserve">bloquant</w:t>
      </w:r>
      <w:r>
        <w:rPr>
          <w:sz w:val="21"/>
          <w:szCs w:val="21"/>
        </w:rPr>
        <w:t xml:space="preserve"> en intégration continue.</w:t>
      </w:r>
    </w:p>
    <w:p>
      <w:pPr>
        <w:pStyle w:val="Heading1"/>
        <w:spacing w:after="160" w:before="320"/>
      </w:pPr>
      <w:r>
        <w:rPr>
          <w:b/>
          <w:bCs/>
          <w:color w:val="2C5F4A"/>
          <w:sz w:val="30"/>
          <w:szCs w:val="30"/>
        </w:rPr>
        <w:t xml:space="preserve">Synthèse</w:t>
      </w:r>
    </w:p>
    <w:p>
      <w:pPr>
        <w:spacing w:after="120" w:line="276"/>
      </w:pPr>
      <w:r>
        <w:rPr>
          <w:sz w:val="21"/>
          <w:szCs w:val="21"/>
        </w:rPr>
        <w:t xml:space="preserve">Les trois fiches montrent une veille outillée : les vulnérabilités ne sont pas découvertes manuellement mais remontées automatiquement par la chaîne CI (Trivy, audit npm, OWASP), puis traitées par mise à jour ciblée. La veille sur les frameworks (Spring Boot 4, Next.js 16) permet d'anticiper les changements de comportement et de transformer chaque montée de version en occasion de durcissement.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CESIZen — Veille technologique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2026-07-14T12:02:58.729Z</dcterms:created>
  <dcterms:modified xsi:type="dcterms:W3CDTF">2026-07-14T12:02:58.730Z</dcterms:modified>
</cp:coreProperties>
</file>

<file path=docProps/custom.xml><?xml version="1.0" encoding="utf-8"?>
<Properties xmlns="http://schemas.openxmlformats.org/officeDocument/2006/custom-properties" xmlns:vt="http://schemas.openxmlformats.org/officeDocument/2006/docPropsVTypes"/>
</file>