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50.png" ContentType="image/png"/>
  <Override PartName="/word/media/rId32.png" ContentType="image/png"/>
  <Override PartName="/word/media/rId28.png" ContentType="image/png"/>
  <Override PartName="/word/media/rId37.png" ContentType="image/png"/>
  <Override PartName="/word/media/rId42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Perceptions</w:t>
      </w:r>
      <w:r>
        <w:t xml:space="preserve"> </w:t>
      </w:r>
      <w:r>
        <w:t xml:space="preserve">of</w:t>
      </w:r>
      <w:r>
        <w:t xml:space="preserve"> </w:t>
      </w:r>
      <w:r>
        <w:t xml:space="preserve">drinking</w:t>
      </w:r>
      <w:r>
        <w:t xml:space="preserve"> </w:t>
      </w:r>
      <w:r>
        <w:t xml:space="preserve">water</w:t>
      </w:r>
      <w:r>
        <w:t xml:space="preserve"> </w:t>
      </w:r>
      <w:r>
        <w:t xml:space="preserve">management</w:t>
      </w:r>
      <w:r>
        <w:t xml:space="preserve"> </w:t>
      </w:r>
      <w:r>
        <w:t xml:space="preserve">and</w:t>
      </w:r>
      <w:r>
        <w:t xml:space="preserve"> </w:t>
      </w:r>
      <w:r>
        <w:t xml:space="preserve">safety:</w:t>
      </w:r>
      <w:r>
        <w:t xml:space="preserve"> </w:t>
      </w:r>
      <w:r>
        <w:t xml:space="preserve">A</w:t>
      </w:r>
      <w:r>
        <w:t xml:space="preserve"> </w:t>
      </w:r>
      <w:r>
        <w:t xml:space="preserve">public</w:t>
      </w:r>
      <w:r>
        <w:t xml:space="preserve"> </w:t>
      </w:r>
      <w:r>
        <w:t xml:space="preserve">survey</w:t>
      </w:r>
      <w:r>
        <w:t xml:space="preserve"> </w:t>
      </w:r>
      <w:r>
        <w:t xml:space="preserve">of</w:t>
      </w:r>
      <w:r>
        <w:t xml:space="preserve"> </w:t>
      </w:r>
      <w:r>
        <w:t xml:space="preserve">U.S.</w:t>
      </w:r>
      <w:r>
        <w:t xml:space="preserve"> </w:t>
      </w:r>
      <w:r>
        <w:t xml:space="preserve">residents</w:t>
      </w:r>
    </w:p>
    <w:p>
      <w:pPr>
        <w:pStyle w:val="Author"/>
      </w:pPr>
      <w:r>
        <w:t xml:space="preserve">T.</w:t>
      </w:r>
      <w:r>
        <w:t xml:space="preserve"> </w:t>
      </w:r>
      <w:r>
        <w:t xml:space="preserve">Allen</w:t>
      </w:r>
      <w:r>
        <w:t xml:space="preserve"> </w:t>
      </w:r>
      <w:r>
        <w:t xml:space="preserve">Berthold</w:t>
      </w:r>
      <w:r>
        <w:t xml:space="preserve">,</w:t>
      </w:r>
      <w:r>
        <w:t xml:space="preserve"> </w:t>
      </w:r>
      <w:r>
        <w:t xml:space="preserve">Audrey</w:t>
      </w:r>
      <w:r>
        <w:t xml:space="preserve"> </w:t>
      </w:r>
      <w:r>
        <w:t xml:space="preserve">McCrary</w:t>
      </w:r>
      <w:r>
        <w:t xml:space="preserve">,</w:t>
      </w:r>
      <w:r>
        <w:t xml:space="preserve"> </w:t>
      </w:r>
      <w:r>
        <w:t xml:space="preserve">Stephanie</w:t>
      </w:r>
      <w:r>
        <w:t xml:space="preserve"> </w:t>
      </w:r>
      <w:r>
        <w:t xml:space="preserve">deVilleneuve</w:t>
      </w:r>
      <w:r>
        <w:t xml:space="preserve">,</w:t>
      </w:r>
      <w:r>
        <w:t xml:space="preserve"> </w:t>
      </w:r>
      <w:r>
        <w:t xml:space="preserve">and</w:t>
      </w:r>
      <w:r>
        <w:t xml:space="preserve"> </w:t>
      </w:r>
      <w:r>
        <w:t xml:space="preserve">Michael</w:t>
      </w:r>
      <w:r>
        <w:t xml:space="preserve"> </w:t>
      </w:r>
      <w:r>
        <w:t xml:space="preserve">Schramm</w:t>
      </w:r>
    </w:p>
    <w:p>
      <w:pPr>
        <w:pStyle w:val="FirstParagraph"/>
      </w:pPr>
      <w:r>
        <w:t xml:space="preserve">Texas Water Resources Institute, Texas A&amp;M AgriLife,</w:t>
      </w:r>
      <w:r>
        <w:t xml:space="preserve"> </w:t>
      </w:r>
      <w:r>
        <w:t xml:space="preserve">College Station Texas, USA (Berthold, McCrary, deVilleneuve, Schramm).</w:t>
      </w:r>
      <w:r>
        <w:t xml:space="preserve"> </w:t>
      </w:r>
      <w:r>
        <w:t xml:space="preserve">Correspondence to Schramm:</w:t>
      </w:r>
      <w:r>
        <w:t xml:space="preserve"> </w:t>
      </w:r>
      <w:hyperlink r:id="rId20">
        <w:r>
          <w:rPr>
            <w:rStyle w:val="Hyperlink"/>
          </w:rPr>
          <w:t xml:space="preserve">michael.schramm@ag.tamu.edu</w:t>
        </w:r>
      </w:hyperlink>
      <w:r>
        <w:t xml:space="preserve">)</w:t>
      </w:r>
    </w:p>
    <w:p>
      <w:pPr>
        <w:pStyle w:val="BodyText"/>
      </w:pPr>
      <w:r>
        <w:rPr>
          <w:bCs/>
          <w:b/>
        </w:rPr>
        <w:t xml:space="preserve">Research Impact Statement:</w:t>
      </w:r>
      <w:r>
        <w:t xml:space="preserve"> </w:t>
      </w:r>
      <w:r>
        <w:t xml:space="preserve">TBD</w:t>
      </w:r>
    </w:p>
    <w:p>
      <w:pPr>
        <w:pStyle w:val="BodyText"/>
      </w:pPr>
      <w:r>
        <w:rPr>
          <w:bCs/>
          <w:b/>
        </w:rPr>
        <w:t xml:space="preserve">ABSTRACT:</w:t>
      </w:r>
      <w:r>
        <w:t xml:space="preserve"> </w:t>
      </w:r>
      <w:r>
        <w:t xml:space="preserve">TBD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Keywords:</w:t>
      </w:r>
      <w:r>
        <w:t xml:space="preserve"> </w:t>
      </w:r>
      <w:r>
        <w:t xml:space="preserve">drinking water; public perception; water quality; survey.)</w:t>
      </w:r>
    </w:p>
    <w:p>
      <w:r>
        <w:br w:type="page"/>
      </w:r>
    </w:p>
    <w:bookmarkStart w:id="21" w:name="introduction"/>
    <w:p>
      <w:pPr>
        <w:pStyle w:val="Heading1"/>
      </w:pPr>
      <w:r>
        <w:t xml:space="preserve">Introduction</w:t>
      </w:r>
    </w:p>
    <w:bookmarkEnd w:id="21"/>
    <w:bookmarkStart w:id="25" w:name="methodology"/>
    <w:p>
      <w:pPr>
        <w:pStyle w:val="Heading1"/>
      </w:pPr>
      <w:r>
        <w:t xml:space="preserve">Methodology</w:t>
      </w:r>
    </w:p>
    <w:bookmarkStart w:id="22" w:name="survey-instrument"/>
    <w:p>
      <w:pPr>
        <w:pStyle w:val="Heading2"/>
      </w:pPr>
      <w:r>
        <w:t xml:space="preserve">Survey Instrument</w:t>
      </w:r>
    </w:p>
    <w:p>
      <w:pPr>
        <w:pStyle w:val="FirstParagraph"/>
      </w:pPr>
      <w:r>
        <w:t xml:space="preserve">The online survey was administered and distributed through the Qualtrics online</w:t>
      </w:r>
      <w:r>
        <w:t xml:space="preserve"> </w:t>
      </w:r>
      <w:r>
        <w:t xml:space="preserve">panel in April 2023. Panels were recruited using gender, age, and</w:t>
      </w:r>
      <w:r>
        <w:t xml:space="preserve"> </w:t>
      </w:r>
      <w:r>
        <w:t xml:space="preserve">race/ethnicity quotas to obtain approximately representative samples of the U.S.</w:t>
      </w:r>
      <w:r>
        <w:t xml:space="preserve"> </w:t>
      </w:r>
      <w:r>
        <w:t xml:space="preserve">population. Panels were continuously sampled until a representative sample was</w:t>
      </w:r>
      <w:r>
        <w:t xml:space="preserve"> </w:t>
      </w:r>
      <w:r>
        <w:t xml:space="preserve">obtained, with a total sample size of 1,100 respondent and estimated ±3% margin</w:t>
      </w:r>
      <w:r>
        <w:t xml:space="preserve"> </w:t>
      </w:r>
      <w:r>
        <w:t xml:space="preserve">of error at 95% confidence</w:t>
      </w:r>
      <w:r>
        <w:t xml:space="preserve"> </w:t>
      </w:r>
      <w:r>
        <w:t xml:space="preserve">(Dillman 2011)</w:t>
      </w:r>
      <w:r>
        <w:t xml:space="preserve">. Quality checks,</w:t>
      </w:r>
      <w:r>
        <w:t xml:space="preserve"> </w:t>
      </w:r>
      <w:r>
        <w:t xml:space="preserve">performed by Qualtrics, excluded responses that failed attention or speed checks,</w:t>
      </w:r>
      <w:r>
        <w:t xml:space="preserve"> </w:t>
      </w:r>
      <w:r>
        <w:t xml:space="preserve">IP address checks, or failed to meet representative demographic criteria.</w:t>
      </w:r>
      <w:r>
        <w:t xml:space="preserve"> </w:t>
      </w:r>
      <w:r>
        <w:t xml:space="preserve">All participants were provided and agreed to a written informed consent agreement.</w:t>
      </w:r>
      <w:r>
        <w:t xml:space="preserve"> </w:t>
      </w:r>
      <w:r>
        <w:t xml:space="preserve">The Texas A&amp;M University Institutional Review Board reviewed the study</w:t>
      </w:r>
      <w:r>
        <w:t xml:space="preserve"> </w:t>
      </w:r>
      <w:r>
        <w:t xml:space="preserve">protocol prior to distribution and deemed the study exempt from formal review.</w:t>
      </w:r>
    </w:p>
    <w:p>
      <w:pPr>
        <w:pStyle w:val="BodyText"/>
      </w:pPr>
      <w:r>
        <w:t xml:space="preserve">We sought to characterize (1) choice in primary drinking water source; (2)</w:t>
      </w:r>
      <w:r>
        <w:t xml:space="preserve"> </w:t>
      </w:r>
      <w:r>
        <w:t xml:space="preserve">problems experienced with drinking water; (3) concern about drinking water</w:t>
      </w:r>
      <w:r>
        <w:t xml:space="preserve"> </w:t>
      </w:r>
      <w:r>
        <w:t xml:space="preserve">contamination; (4) perceptions of trust and safety in drinking water quality</w:t>
      </w:r>
      <w:r>
        <w:t xml:space="preserve"> </w:t>
      </w:r>
      <w:r>
        <w:t xml:space="preserve">and associated management entities; and (5) how people receive information</w:t>
      </w:r>
      <w:r>
        <w:t xml:space="preserve"> </w:t>
      </w:r>
      <w:r>
        <w:t xml:space="preserve">about drinking water quality. Participants were asked for their main source</w:t>
      </w:r>
      <w:r>
        <w:t xml:space="preserve"> </w:t>
      </w:r>
      <w:r>
        <w:t xml:space="preserve">of household tap water (municipal public supply, public rural water district,</w:t>
      </w:r>
      <w:r>
        <w:t xml:space="preserve"> </w:t>
      </w:r>
      <w:r>
        <w:t xml:space="preserve">private ground or surface water, private rainwater collection) and their main</w:t>
      </w:r>
      <w:r>
        <w:t xml:space="preserve"> </w:t>
      </w:r>
      <w:r>
        <w:t xml:space="preserve">source of drinking water (unfiltered tap, filtered tap, bottled/prepackaged,</w:t>
      </w:r>
      <w:r>
        <w:t xml:space="preserve"> </w:t>
      </w:r>
      <w:r>
        <w:t xml:space="preserve">or other). We also asked if they had experienced any of</w:t>
      </w:r>
      <w:r>
        <w:t xml:space="preserve"> </w:t>
      </w:r>
      <w:r>
        <w:t xml:space="preserve">12 different potential drinking water issues. To characterize concerns about</w:t>
      </w:r>
      <w:r>
        <w:t xml:space="preserve"> </w:t>
      </w:r>
      <w:r>
        <w:t xml:space="preserve">contamination sources, we also asked how concerned they were about 10 different</w:t>
      </w:r>
      <w:r>
        <w:t xml:space="preserve"> </w:t>
      </w:r>
      <w:r>
        <w:t xml:space="preserve">potential sources of contamination on a five-point scale from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not at all concerned</w:t>
      </w:r>
      <w:r>
        <w:rPr>
          <w:iCs/>
          <w:i/>
        </w:rPr>
        <w:t xml:space="preserve">”</w:t>
      </w:r>
      <w:r>
        <w:t xml:space="preserve"> </w:t>
      </w:r>
      <w:r>
        <w:t xml:space="preserve">to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extremely concerned.</w:t>
      </w:r>
      <w:r>
        <w:rPr>
          <w:iCs/>
          <w:i/>
        </w:rPr>
        <w:t xml:space="preserve">”</w:t>
      </w:r>
    </w:p>
    <w:p>
      <w:pPr>
        <w:pStyle w:val="BodyText"/>
      </w:pPr>
      <w:r>
        <w:t xml:space="preserve">Levels of responsibility and trust in different entities involved in drinking</w:t>
      </w:r>
      <w:r>
        <w:t xml:space="preserve"> </w:t>
      </w:r>
      <w:r>
        <w:t xml:space="preserve">water management were assessed with 2 questions. First, participants were asked</w:t>
      </w:r>
      <w:r>
        <w:t xml:space="preserve"> </w:t>
      </w:r>
      <w:r>
        <w:t xml:space="preserve">what level of responsibility (on a five-point scale from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no responsibility</w:t>
      </w:r>
      <w:r>
        <w:rPr>
          <w:iCs/>
          <w:i/>
        </w:rPr>
        <w:t xml:space="preserve">”</w:t>
      </w:r>
      <w:r>
        <w:t xml:space="preserve"> </w:t>
      </w:r>
      <w:r>
        <w:t xml:space="preserve">to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full responsibility</w:t>
      </w:r>
      <w:r>
        <w:rPr>
          <w:iCs/>
          <w:i/>
        </w:rPr>
        <w:t xml:space="preserve">”</w:t>
      </w:r>
      <w:r>
        <w:t xml:space="preserve">) they believed each of six different entities had for</w:t>
      </w:r>
      <w:r>
        <w:t xml:space="preserve"> </w:t>
      </w:r>
      <w:r>
        <w:t xml:space="preserve">ensuring drinking water is safe. We also asked what the participants level of</w:t>
      </w:r>
      <w:r>
        <w:t xml:space="preserve"> </w:t>
      </w:r>
      <w:r>
        <w:t xml:space="preserve">trust was in each of those entities (on a five-point scale from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do not trust at all</w:t>
      </w:r>
      <w:r>
        <w:rPr>
          <w:iCs/>
          <w:i/>
        </w:rPr>
        <w:t xml:space="preserve">”</w:t>
      </w:r>
      <w:r>
        <w:t xml:space="preserve"> </w:t>
      </w:r>
      <w:r>
        <w:t xml:space="preserve">to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fully trust</w:t>
      </w:r>
      <w:r>
        <w:rPr>
          <w:iCs/>
          <w:i/>
        </w:rPr>
        <w:t xml:space="preserve">”</w:t>
      </w:r>
      <w:r>
        <w:t xml:space="preserve">). To assess the public’s perceived safety of drinking</w:t>
      </w:r>
      <w:r>
        <w:t xml:space="preserve"> </w:t>
      </w:r>
      <w:r>
        <w:t xml:space="preserve">water, we asked participants to rate their drinking water safety on an ordinal</w:t>
      </w:r>
      <w:r>
        <w:t xml:space="preserve"> </w:t>
      </w:r>
      <w:r>
        <w:t xml:space="preserve">scale from 0 through 10. We assessed sources of drinking water quality</w:t>
      </w:r>
      <w:r>
        <w:t xml:space="preserve"> </w:t>
      </w:r>
      <w:r>
        <w:t xml:space="preserve">information by asking how often (five-point scale from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never</w:t>
      </w:r>
      <w:r>
        <w:rPr>
          <w:iCs/>
          <w:i/>
        </w:rPr>
        <w:t xml:space="preserve">”</w:t>
      </w:r>
      <w:r>
        <w:t xml:space="preserve"> </w:t>
      </w:r>
      <w:r>
        <w:t xml:space="preserve">to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always</w:t>
      </w:r>
      <w:r>
        <w:rPr>
          <w:iCs/>
          <w:i/>
        </w:rPr>
        <w:t xml:space="preserve">”</w:t>
      </w:r>
      <w:r>
        <w:t xml:space="preserve">)</w:t>
      </w:r>
      <w:r>
        <w:t xml:space="preserve"> </w:t>
      </w:r>
      <w:r>
        <w:t xml:space="preserve">each of 11 different sources were used to get information about drinking water</w:t>
      </w:r>
      <w:r>
        <w:t xml:space="preserve"> </w:t>
      </w:r>
      <w:r>
        <w:t xml:space="preserve">quality. Questions are documented in the supplementary information (Table S1).</w:t>
      </w:r>
    </w:p>
    <w:bookmarkEnd w:id="22"/>
    <w:bookmarkStart w:id="23" w:name="analysis"/>
    <w:p>
      <w:pPr>
        <w:pStyle w:val="Heading2"/>
      </w:pPr>
      <w:r>
        <w:t xml:space="preserve">Analysis</w:t>
      </w:r>
    </w:p>
    <w:p>
      <w:pPr>
        <w:pStyle w:val="FirstParagraph"/>
      </w:pPr>
      <w:r>
        <w:t xml:space="preserve">Survey responses were weighted to match marginal sex/gender, age group,</w:t>
      </w:r>
      <w:r>
        <w:t xml:space="preserve"> </w:t>
      </w:r>
      <w:r>
        <w:t xml:space="preserve">race/ethnicity, and education proportions to national level benchmarks from the</w:t>
      </w:r>
      <w:r>
        <w:t xml:space="preserve"> </w:t>
      </w:r>
      <w:r>
        <w:t xml:space="preserve">5-year 2021 American Community Survey (ACS; Table S2).</w:t>
      </w:r>
      <w:r>
        <w:t xml:space="preserve"> </w:t>
      </w:r>
      <w:r>
        <w:t xml:space="preserve">We chose to weight gender using</w:t>
      </w:r>
      <w:r>
        <w:t xml:space="preserve"> </w:t>
      </w:r>
      <w:r>
        <w:t xml:space="preserve">“</w:t>
      </w:r>
      <w:r>
        <w:t xml:space="preserve">male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non-male</w:t>
      </w:r>
      <w:r>
        <w:t xml:space="preserve">”</w:t>
      </w:r>
      <w:r>
        <w:t xml:space="preserve"> </w:t>
      </w:r>
      <w:r>
        <w:t xml:space="preserve">binary responses because</w:t>
      </w:r>
      <w:r>
        <w:t xml:space="preserve"> </w:t>
      </w:r>
      <w:r>
        <w:t xml:space="preserve">the ACS only provides binary responses for sex.</w:t>
      </w:r>
      <w:r>
        <w:t xml:space="preserve"> </w:t>
      </w:r>
      <w:r>
        <w:t xml:space="preserve">This approach groups</w:t>
      </w:r>
      <w:r>
        <w:t xml:space="preserve"> </w:t>
      </w:r>
      <w:r>
        <w:t xml:space="preserve">“</w:t>
      </w:r>
      <w:r>
        <w:t xml:space="preserve">female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other</w:t>
      </w:r>
      <w:r>
        <w:t xml:space="preserve">”</w:t>
      </w:r>
      <w:r>
        <w:t xml:space="preserve"> </w:t>
      </w:r>
      <w:r>
        <w:t xml:space="preserve">respondents under the same marginal</w:t>
      </w:r>
      <w:r>
        <w:t xml:space="preserve"> </w:t>
      </w:r>
      <w:r>
        <w:t xml:space="preserve">weight.</w:t>
      </w:r>
      <w:r>
        <w:t xml:space="preserve"> </w:t>
      </w:r>
      <w:r>
        <w:t xml:space="preserve">Race and ethnicity were recoded at white or Caucasian and non-white categories</w:t>
      </w:r>
      <w:r>
        <w:t xml:space="preserve"> </w:t>
      </w:r>
      <w:r>
        <w:t xml:space="preserve">due to small subpopulation sample sizes.</w:t>
      </w:r>
      <w:r>
        <w:t xml:space="preserve"> </w:t>
      </w:r>
      <w:r>
        <w:t xml:space="preserve">Weights were developed by poststratification raking using the American National Election</w:t>
      </w:r>
      <w:r>
        <w:t xml:space="preserve"> </w:t>
      </w:r>
      <w:r>
        <w:t xml:space="preserve">Study (ANES) weighting algorithm implemented in the</w:t>
      </w:r>
      <w:r>
        <w:t xml:space="preserve"> </w:t>
      </w:r>
      <w:r>
        <w:rPr>
          <w:iCs/>
          <w:i/>
        </w:rPr>
        <w:t xml:space="preserve">anesrake</w:t>
      </w:r>
      <w:r>
        <w:t xml:space="preserve"> </w:t>
      </w:r>
      <w:r>
        <w:t xml:space="preserve">R package</w:t>
      </w:r>
      <w:r>
        <w:t xml:space="preserve"> </w:t>
      </w:r>
      <w:r>
        <w:t xml:space="preserve">(DeBell and Krosnick 2009; Pasek 2018)</w:t>
      </w:r>
      <w:r>
        <w:t xml:space="preserve">.</w:t>
      </w:r>
      <w:r>
        <w:t xml:space="preserve"> </w:t>
      </w:r>
      <w:r>
        <w:t xml:space="preserve">Weighted summary statistics were calculated using the</w:t>
      </w:r>
      <w:r>
        <w:t xml:space="preserve"> </w:t>
      </w:r>
      <w:r>
        <w:rPr>
          <w:iCs/>
          <w:i/>
        </w:rPr>
        <w:t xml:space="preserve">survey</w:t>
      </w:r>
      <w:r>
        <w:t xml:space="preserve"> </w:t>
      </w:r>
      <w:r>
        <w:t xml:space="preserve">R package</w:t>
      </w:r>
      <w:r>
        <w:t xml:space="preserve"> </w:t>
      </w:r>
      <w:r>
        <w:t xml:space="preserve">(Lumley 2004)</w:t>
      </w:r>
      <w:r>
        <w:t xml:space="preserve">.</w:t>
      </w:r>
      <w:r>
        <w:t xml:space="preserve"> </w:t>
      </w:r>
      <w:r>
        <w:t xml:space="preserve">Confidence intervals for proportions</w:t>
      </w:r>
      <w:r>
        <w:t xml:space="preserve"> </w:t>
      </w:r>
      <w:r>
        <w:t xml:space="preserve">were computed using the</w:t>
      </w:r>
      <w:r>
        <w:t xml:space="preserve"> </w:t>
      </w:r>
      <w:r>
        <w:t xml:space="preserve">“</w:t>
      </w:r>
      <w:r>
        <w:t xml:space="preserve">logit</w:t>
      </w:r>
      <w:r>
        <w:t xml:space="preserve">”</w:t>
      </w:r>
      <w:r>
        <w:t xml:space="preserve"> </w:t>
      </w:r>
      <w:r>
        <w:t xml:space="preserve">method with the</w:t>
      </w:r>
      <w:r>
        <w:t xml:space="preserve"> </w:t>
      </w:r>
      <w:r>
        <w:t xml:space="preserve">“</w:t>
      </w:r>
      <w:r>
        <w:t xml:space="preserve">svyciprop</w:t>
      </w:r>
      <w:r>
        <w:t xml:space="preserve">”</w:t>
      </w:r>
      <w:r>
        <w:t xml:space="preserve"> </w:t>
      </w:r>
      <w:r>
        <w:t xml:space="preserve">function.</w:t>
      </w:r>
    </w:p>
    <w:bookmarkEnd w:id="23"/>
    <w:bookmarkStart w:id="24" w:name="models"/>
    <w:p>
      <w:pPr>
        <w:pStyle w:val="Heading2"/>
      </w:pPr>
      <w:r>
        <w:t xml:space="preserve">Models</w:t>
      </w:r>
    </w:p>
    <w:p>
      <w:pPr>
        <w:pStyle w:val="FirstParagraph"/>
      </w:pPr>
      <w:r>
        <w:t xml:space="preserve">We explored factors associated with changes in (1) primary drinking water source,</w:t>
      </w:r>
      <w:r>
        <w:t xml:space="preserve"> </w:t>
      </w:r>
      <w:r>
        <w:t xml:space="preserve">(2) perceived safety of drinking water, and (3) perception of drinking water</w:t>
      </w:r>
      <w:r>
        <w:t xml:space="preserve"> </w:t>
      </w:r>
      <w:r>
        <w:t xml:space="preserve">safety using regression-based approaches.</w:t>
      </w:r>
      <w:r>
        <w:t xml:space="preserve"> </w:t>
      </w:r>
      <w:r>
        <w:t xml:space="preserve">Each of our models included demographic variables (Table S2), source</w:t>
      </w:r>
      <w:r>
        <w:t xml:space="preserve"> </w:t>
      </w:r>
      <w:r>
        <w:t xml:space="preserve">of household tap water, and experience with any of (1) odd taste, (2)</w:t>
      </w:r>
      <w:r>
        <w:t xml:space="preserve"> </w:t>
      </w:r>
      <w:r>
        <w:t xml:space="preserve">odd smell, (3) discolored water, or (4) cloudy water as explanatory</w:t>
      </w:r>
      <w:r>
        <w:t xml:space="preserve"> </w:t>
      </w:r>
      <w:r>
        <w:t xml:space="preserve">variables.</w:t>
      </w:r>
      <w:r>
        <w:t xml:space="preserve"> </w:t>
      </w:r>
      <w:r>
        <w:t xml:space="preserve">Primary drinking water source (unfiltered tap water,</w:t>
      </w:r>
      <w:r>
        <w:t xml:space="preserve"> </w:t>
      </w:r>
      <w:r>
        <w:t xml:space="preserve">filtered tap water, or bottled water) was modeled using a multinomial</w:t>
      </w:r>
      <w:r>
        <w:t xml:space="preserve"> </w:t>
      </w:r>
      <w:r>
        <w:t xml:space="preserve">logistic regression model</w:t>
      </w:r>
      <w:r>
        <w:t xml:space="preserve"> </w:t>
      </w:r>
      <w:r>
        <w:t xml:space="preserve">(Agresti 2002)</w:t>
      </w:r>
      <w:r>
        <w:t xml:space="preserve">.</w:t>
      </w:r>
      <w:r>
        <w:t xml:space="preserve"> </w:t>
      </w:r>
      <w:r>
        <w:t xml:space="preserve">We used proportional odds models</w:t>
      </w:r>
      <w:r>
        <w:t xml:space="preserve"> </w:t>
      </w:r>
      <w:r>
        <w:t xml:space="preserve">(McCullagh 1980; Agresti 2002)</w:t>
      </w:r>
      <w:r>
        <w:t xml:space="preserve"> </w:t>
      </w:r>
      <w:r>
        <w:t xml:space="preserve">to</w:t>
      </w:r>
      <w:r>
        <w:t xml:space="preserve"> </w:t>
      </w:r>
      <w:r>
        <w:t xml:space="preserve">explore factors associated (1) trust in entities responsible for drinking</w:t>
      </w:r>
      <w:r>
        <w:t xml:space="preserve"> </w:t>
      </w:r>
      <w:r>
        <w:t xml:space="preserve">water safety (five-point scale), and (2) self-reported rating (on scale 1-10)</w:t>
      </w:r>
      <w:r>
        <w:t xml:space="preserve"> </w:t>
      </w:r>
      <w:r>
        <w:t xml:space="preserve">of drinking water safety. Multinomial logistic regressions were fit using</w:t>
      </w:r>
      <w:r>
        <w:t xml:space="preserve"> </w:t>
      </w:r>
      <w:r>
        <w:t xml:space="preserve">the</w:t>
      </w:r>
      <w:r>
        <w:t xml:space="preserve"> </w:t>
      </w:r>
      <w:r>
        <w:rPr>
          <w:iCs/>
          <w:i/>
        </w:rPr>
        <w:t xml:space="preserve">svyVGAM</w:t>
      </w:r>
      <w:r>
        <w:t xml:space="preserve"> </w:t>
      </w:r>
      <w:r>
        <w:t xml:space="preserve">R package</w:t>
      </w:r>
      <w:r>
        <w:t xml:space="preserve"> </w:t>
      </w:r>
      <w:r>
        <w:t xml:space="preserve">(Lumley 2023)</w:t>
      </w:r>
      <w:r>
        <w:t xml:space="preserve"> </w:t>
      </w:r>
      <w:r>
        <w:t xml:space="preserve">and proportional odds models were</w:t>
      </w:r>
      <w:r>
        <w:t xml:space="preserve"> </w:t>
      </w:r>
      <w:r>
        <w:t xml:space="preserve">fit using the</w:t>
      </w:r>
      <w:r>
        <w:t xml:space="preserve"> </w:t>
      </w:r>
      <w:r>
        <w:rPr>
          <w:iCs/>
          <w:i/>
        </w:rPr>
        <w:t xml:space="preserve">survey</w:t>
      </w:r>
      <w:r>
        <w:t xml:space="preserve"> </w:t>
      </w:r>
      <w:r>
        <w:t xml:space="preserve">R package</w:t>
      </w:r>
      <w:r>
        <w:t xml:space="preserve"> </w:t>
      </w:r>
      <w:r>
        <w:t xml:space="preserve">(Lumley 2004)</w:t>
      </w:r>
      <w:r>
        <w:t xml:space="preserve">.</w:t>
      </w:r>
      <w:r>
        <w:t xml:space="preserve"> </w:t>
      </w:r>
      <w:r>
        <w:t xml:space="preserve">We calculated the generalized variance inflation factor (GVIF) to evaluate</w:t>
      </w:r>
      <w:r>
        <w:t xml:space="preserve"> </w:t>
      </w:r>
      <w:r>
        <w:t xml:space="preserve">potential impacts of multi-collinearity among model predictors on our</w:t>
      </w:r>
      <w:r>
        <w:t xml:space="preserve"> </w:t>
      </w:r>
      <w:r>
        <w:t xml:space="preserve">interpretation of the models</w:t>
      </w:r>
      <w:r>
        <w:t xml:space="preserve"> </w:t>
      </w:r>
      <w:r>
        <w:t xml:space="preserve">(Fox and Monette 1992)</w:t>
      </w:r>
      <w:r>
        <w:t xml:space="preserve">.</w:t>
      </w:r>
      <w:r>
        <w:t xml:space="preserve"> </w:t>
      </w:r>
      <w:r>
        <w:t xml:space="preserve">We report our model results as odds-ratios.</w:t>
      </w:r>
    </w:p>
    <w:bookmarkEnd w:id="24"/>
    <w:bookmarkEnd w:id="25"/>
    <w:bookmarkStart w:id="55" w:name="results"/>
    <w:p>
      <w:pPr>
        <w:pStyle w:val="Heading1"/>
      </w:pPr>
      <w:r>
        <w:t xml:space="preserve">Results</w:t>
      </w:r>
    </w:p>
    <w:bookmarkStart w:id="36" w:name="Xe1f4da17c71f4863adab8da177c4b24225558cf"/>
    <w:p>
      <w:pPr>
        <w:pStyle w:val="Heading2"/>
      </w:pPr>
      <w:r>
        <w:t xml:space="preserve">Sources of drinking water and drinking water problems</w:t>
      </w:r>
    </w:p>
    <w:p>
      <w:pPr>
        <w:pStyle w:val="FirstParagraph"/>
      </w:pPr>
      <w:r>
        <w:t xml:space="preserve">The majority of respondents lived in homes with a municipal public water supply</w:t>
      </w:r>
      <w:r>
        <w:t xml:space="preserve"> </w:t>
      </w:r>
      <w:r>
        <w:t xml:space="preserve">(56%, 1.6% SE) with 13.3% using some type of private water supply (Table</w:t>
      </w:r>
      <w:r>
        <w:t xml:space="preserve"> </w:t>
      </w:r>
      <w:r>
        <w:t xml:space="preserve">1</w:t>
      </w:r>
      <w:r>
        <w:t xml:space="preserve">).</w:t>
      </w:r>
      <w:r>
        <w:t xml:space="preserve"> </w:t>
      </w:r>
      <w:r>
        <w:t xml:space="preserve">A relatively high percentage of respondents stats they did not know what the</w:t>
      </w:r>
      <w:r>
        <w:t xml:space="preserve"> </w:t>
      </w:r>
      <w:r>
        <w:t xml:space="preserve">source of their tap water was (13.3%, 1.2% SE).</w:t>
      </w:r>
      <w:r>
        <w:t xml:space="preserve"> </w:t>
      </w:r>
      <w:r>
        <w:t xml:space="preserve">The majority of respondents (65.5%) used unfiltered or filtered tap water as</w:t>
      </w:r>
      <w:r>
        <w:t xml:space="preserve"> </w:t>
      </w:r>
      <w:r>
        <w:t xml:space="preserve">their main source of drinking water (Table</w:t>
      </w:r>
      <w:r>
        <w:t xml:space="preserve"> </w:t>
      </w:r>
      <w:r>
        <w:t xml:space="preserve">1</w:t>
      </w:r>
      <w:r>
        <w:t xml:space="preserve">). Bottled or pre-packaged</w:t>
      </w:r>
      <w:r>
        <w:t xml:space="preserve"> </w:t>
      </w:r>
      <w:r>
        <w:t xml:space="preserve">water was the primary drinking water sources for 34.2% (1.6% SE) of respondents.</w:t>
      </w:r>
      <w:r>
        <w:t xml:space="preserve"> </w:t>
      </w:r>
      <w:r>
        <w:t xml:space="preserve">Only 3.1% (0.6% SE) of respondents stated that they had not experienced any</w:t>
      </w:r>
      <w:r>
        <w:t xml:space="preserve"> </w:t>
      </w:r>
      <w:r>
        <w:t xml:space="preserve">issues with their tap water (Table</w:t>
      </w:r>
      <w:r>
        <w:t xml:space="preserve"> </w:t>
      </w:r>
      <w:r>
        <w:t xml:space="preserve">2</w:t>
      </w:r>
      <w:r>
        <w:t xml:space="preserve">). Odd taste (27.5%, 1.4% SE), hardness</w:t>
      </w:r>
      <w:r>
        <w:t xml:space="preserve"> </w:t>
      </w:r>
      <w:r>
        <w:t xml:space="preserve">or scale buildup (20.3%, 1.3% SE), and odd smell (18.8%, 1.3% SE) were the most</w:t>
      </w:r>
      <w:r>
        <w:t xml:space="preserve"> </w:t>
      </w:r>
      <w:r>
        <w:t xml:space="preserve">common issues. Notably, 14.9% (1.1% SE) of respondents stated they have</w:t>
      </w:r>
      <w:r>
        <w:t xml:space="preserve"> </w:t>
      </w:r>
      <w:r>
        <w:t xml:space="preserve">experienced a boil water notice.</w:t>
      </w:r>
    </w:p>
    <w:p>
      <w:pPr>
        <w:pStyle w:val="TableCaption"/>
      </w:pPr>
      <w:bookmarkStart w:id="26" w:name="tab:q5q6"/>
      <w:bookmarkEnd w:id="26"/>
      <w:r>
        <w:rPr>
          <w:bCs/>
          <w:b/>
        </w:rPr>
        <w:t xml:space="preserve">Table 1.</w:t>
      </w:r>
      <w:r>
        <w:t xml:space="preserve"> </w:t>
      </w:r>
      <w:r>
        <w:t xml:space="preserve">The proportion of respondents with the specified household water source and drinking water source.)</w:t>
      </w:r>
    </w:p>
    <w:tbl>
      <w:tblPr>
        <w:tblStyle w:val="Table"/>
        <w:tblW w:type="pct" w:w="4861"/>
        <w:tblLook w:firstRow="1" w:lastRow="0" w:firstColumn="0" w:lastColumn="0" w:noHBand="0" w:noVBand="0" w:val="0020"/>
        <w:jc w:val="start"/>
        <w:tblCaption w:val="Table 1. The proportion of respondents with the specified household water source and drinking water source.)"/>
      </w:tblPr>
      <w:tblGrid>
        <w:gridCol w:w="4840"/>
        <w:gridCol w:w="1870"/>
        <w:gridCol w:w="99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Response</w:t>
            </w:r>
          </w:p>
        </w:tc>
        <w:tc>
          <w:tcPr/>
          <w:p>
            <w:pPr>
              <w:pStyle w:val="Compact"/>
              <w:jc w:val="right"/>
            </w:pPr>
            <w:r>
              <w:rPr>
                <w:bCs/>
                <w:b/>
              </w:rPr>
              <w:t xml:space="preserve">Proportion</w:t>
            </w:r>
          </w:p>
        </w:tc>
        <w:tc>
          <w:tcPr/>
          <w:p>
            <w:pPr>
              <w:pStyle w:val="Compact"/>
              <w:jc w:val="right"/>
            </w:pPr>
            <w:r>
              <w:rPr>
                <w:bCs/>
                <w:b/>
              </w:rPr>
              <w:t xml:space="preserve">SE</w:t>
            </w:r>
          </w:p>
        </w:tc>
      </w:tr>
      <w:tr>
        <w:tc>
          <w:tcPr>
            <w:gridSpan w:val="3"/>
          </w:tcPr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What is the source of your household tap water?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Public supply - municipal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Public supply - rural water district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Private supply - well, river, pond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Private supply - rainwater harvest system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 don’t know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tcPr>
            <w:gridSpan w:val="3"/>
          </w:tcPr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What is your main source of drinking water?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Unfiltered tap water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Filtered tap water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Bottled/prepackaged water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</w:tr>
    </w:tbl>
    <w:p/>
    <w:p>
      <w:pPr>
        <w:pStyle w:val="TableCaption"/>
      </w:pPr>
      <w:bookmarkStart w:id="27" w:name="tab:q7"/>
      <w:bookmarkEnd w:id="27"/>
      <w:r>
        <w:rPr>
          <w:bCs/>
          <w:b/>
        </w:rPr>
        <w:t xml:space="preserve">Table 2.</w:t>
      </w:r>
      <w:r>
        <w:t xml:space="preserve"> </w:t>
      </w:r>
      <w:r>
        <w:t xml:space="preserve">Proportion of respondents that have experienced specified issues with their drinking water.)</w:t>
      </w:r>
    </w:p>
    <w:tbl>
      <w:tblPr>
        <w:tblStyle w:val="Table"/>
        <w:tblW w:type="pct" w:w="4514"/>
        <w:tblLook w:firstRow="1" w:lastRow="0" w:firstColumn="0" w:lastColumn="0" w:noHBand="0" w:noVBand="0" w:val="0020"/>
        <w:jc w:val="start"/>
        <w:tblCaption w:val="Table 2. Proportion of respondents that have experienced specified issues with their drinking water.)"/>
      </w:tblPr>
      <w:tblGrid>
        <w:gridCol w:w="4290"/>
        <w:gridCol w:w="1870"/>
        <w:gridCol w:w="99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Issue</w:t>
            </w:r>
          </w:p>
        </w:tc>
        <w:tc>
          <w:tcPr/>
          <w:p>
            <w:pPr>
              <w:pStyle w:val="Compact"/>
              <w:jc w:val="right"/>
            </w:pPr>
            <w:r>
              <w:rPr>
                <w:bCs/>
                <w:b/>
              </w:rPr>
              <w:t xml:space="preserve">Proportion</w:t>
            </w:r>
          </w:p>
        </w:tc>
        <w:tc>
          <w:tcPr/>
          <w:p>
            <w:pPr>
              <w:pStyle w:val="Compact"/>
              <w:jc w:val="right"/>
            </w:pPr>
            <w:r>
              <w:rPr>
                <w:bCs/>
                <w:b/>
              </w:rPr>
              <w:t xml:space="preserve">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Odd taste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Odd smell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Discolored water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Cloudy water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Staining of clothes, teeth, or skin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High salt content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Hardness or scale buildup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Corrosion of pipes or water fixtures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Boil water notice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Water shortage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None of the above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</w:t>
            </w:r>
          </w:p>
        </w:tc>
      </w:tr>
    </w:tbl>
    <w:p>
      <w:pPr>
        <w:pStyle w:val="CaptionedFigure"/>
      </w:pPr>
      <w:r>
        <w:drawing>
          <wp:inline>
            <wp:extent cx="5504749" cy="3400711"/>
            <wp:effectExtent b="0" l="0" r="0" t="0"/>
            <wp:docPr descr="Figure 1. Contaminants of concern" title="" id="29" name="Picture"/>
            <a:graphic>
              <a:graphicData uri="http://schemas.openxmlformats.org/drawingml/2006/picture">
                <pic:pic>
                  <pic:nvPicPr>
                    <pic:cNvPr descr="_main_files/figure-docx/q11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400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1" w:name="fig:q11"/>
      <w:bookmarkEnd w:id="31"/>
      <w:r>
        <w:rPr>
          <w:bCs/>
          <w:b/>
        </w:rPr>
        <w:t xml:space="preserve">Figure 1.</w:t>
      </w:r>
      <w:r>
        <w:t xml:space="preserve"> </w:t>
      </w:r>
      <w:r>
        <w:t xml:space="preserve">Contaminants of concern</w:t>
      </w:r>
    </w:p>
    <w:p>
      <w:pPr>
        <w:pStyle w:val="BodyText"/>
      </w:pPr>
      <w:r>
        <w:t xml:space="preserve">We did not observe strong differences among response levels between different</w:t>
      </w:r>
      <w:r>
        <w:t xml:space="preserve"> </w:t>
      </w:r>
      <w:r>
        <w:t xml:space="preserve">contaminants of potential concern (Figure</w:t>
      </w:r>
      <w:r>
        <w:t xml:space="preserve"> </w:t>
      </w:r>
      <w:r>
        <w:t xml:space="preserve">1</w:t>
      </w:r>
      <w:r>
        <w:t xml:space="preserve">). Pesticides (</w:t>
      </w:r>
      <w:r>
        <w:rPr>
          <w:iCs/>
          <w:i/>
        </w:rPr>
        <w:t xml:space="preserve">extremely</w:t>
      </w:r>
      <w:r>
        <w:rPr>
          <w:iCs/>
          <w:i/>
        </w:rPr>
        <w:t xml:space="preserve"> </w:t>
      </w:r>
      <w:r>
        <w:rPr>
          <w:iCs/>
          <w:i/>
        </w:rPr>
        <w:t xml:space="preserve">concerned</w:t>
      </w:r>
      <w:r>
        <w:t xml:space="preserve"> </w:t>
      </w:r>
      <w:r>
        <w:t xml:space="preserve">= 21%, 1.3% SE;</w:t>
      </w:r>
      <w:r>
        <w:t xml:space="preserve"> </w:t>
      </w:r>
      <w:r>
        <w:rPr>
          <w:iCs/>
          <w:i/>
        </w:rPr>
        <w:t xml:space="preserve">very concerned</w:t>
      </w:r>
      <w:r>
        <w:t xml:space="preserve"> </w:t>
      </w:r>
      <w:r>
        <w:t xml:space="preserve">= 21.1%, 1.3% SE), industrial</w:t>
      </w:r>
      <w:r>
        <w:t xml:space="preserve"> </w:t>
      </w:r>
      <w:r>
        <w:t xml:space="preserve">chemicals (</w:t>
      </w:r>
      <w:r>
        <w:rPr>
          <w:iCs/>
          <w:i/>
        </w:rPr>
        <w:t xml:space="preserve">extremely concerned</w:t>
      </w:r>
      <w:r>
        <w:t xml:space="preserve"> </w:t>
      </w:r>
      <w:r>
        <w:t xml:space="preserve">= 20.3%, 1.3% SE;</w:t>
      </w:r>
      <w:r>
        <w:t xml:space="preserve"> </w:t>
      </w:r>
      <w:r>
        <w:rPr>
          <w:iCs/>
          <w:i/>
        </w:rPr>
        <w:t xml:space="preserve">very concerned</w:t>
      </w:r>
      <w:r>
        <w:t xml:space="preserve"> </w:t>
      </w:r>
      <w:r>
        <w:t xml:space="preserve">= 20.1%,</w:t>
      </w:r>
      <w:r>
        <w:t xml:space="preserve"> </w:t>
      </w:r>
      <w:r>
        <w:t xml:space="preserve">1.3% SE), pathogens (</w:t>
      </w:r>
      <w:r>
        <w:rPr>
          <w:iCs/>
          <w:i/>
        </w:rPr>
        <w:t xml:space="preserve">extremely concerned</w:t>
      </w:r>
      <w:r>
        <w:t xml:space="preserve"> </w:t>
      </w:r>
      <w:r>
        <w:t xml:space="preserve">= 19.9%, 1.3% SE;</w:t>
      </w:r>
      <w:r>
        <w:t xml:space="preserve"> </w:t>
      </w:r>
      <w:r>
        <w:rPr>
          <w:iCs/>
          <w:i/>
        </w:rPr>
        <w:t xml:space="preserve">very concerned</w:t>
      </w:r>
      <w:r>
        <w:t xml:space="preserve"> </w:t>
      </w:r>
      <w:r>
        <w:t xml:space="preserve">=</w:t>
      </w:r>
      <w:r>
        <w:t xml:space="preserve"> </w:t>
      </w:r>
      <w:r>
        <w:t xml:space="preserve">20.8%, 1.3% SE), and heavy metals (</w:t>
      </w:r>
      <w:r>
        <w:rPr>
          <w:iCs/>
          <w:i/>
        </w:rPr>
        <w:t xml:space="preserve">extremely concerned</w:t>
      </w:r>
      <w:r>
        <w:t xml:space="preserve"> </w:t>
      </w:r>
      <w:r>
        <w:t xml:space="preserve">= 19.8%, 1.3% SE;</w:t>
      </w:r>
      <w:r>
        <w:t xml:space="preserve"> </w:t>
      </w:r>
      <w:r>
        <w:rPr>
          <w:iCs/>
          <w:i/>
        </w:rPr>
        <w:t xml:space="preserve">very concerned</w:t>
      </w:r>
      <w:r>
        <w:t xml:space="preserve"> </w:t>
      </w:r>
      <w:r>
        <w:t xml:space="preserve">= 22.0%, 1.3% SE) are sources that elicited the highest</w:t>
      </w:r>
      <w:r>
        <w:t xml:space="preserve"> </w:t>
      </w:r>
      <w:r>
        <w:t xml:space="preserve">levels of concern across all respondents. Disinfection byproducts</w:t>
      </w:r>
      <w:r>
        <w:t xml:space="preserve"> </w:t>
      </w:r>
      <w:r>
        <w:t xml:space="preserve">(</w:t>
      </w:r>
      <w:r>
        <w:rPr>
          <w:iCs/>
          <w:i/>
        </w:rPr>
        <w:t xml:space="preserve">Not at all concerned</w:t>
      </w:r>
      <w:r>
        <w:t xml:space="preserve"> </w:t>
      </w:r>
      <w:r>
        <w:t xml:space="preserve">= 22.6%, 1.4% SE;</w:t>
      </w:r>
      <w:r>
        <w:t xml:space="preserve"> </w:t>
      </w:r>
      <w:r>
        <w:rPr>
          <w:iCs/>
          <w:i/>
        </w:rPr>
        <w:t xml:space="preserve">slightly concerned</w:t>
      </w:r>
      <w:r>
        <w:t xml:space="preserve"> </w:t>
      </w:r>
      <w:r>
        <w:t xml:space="preserve">= 20.7%, 1.3% SE)</w:t>
      </w:r>
      <w:r>
        <w:t xml:space="preserve"> </w:t>
      </w:r>
      <w:r>
        <w:t xml:space="preserve">and PFAS (</w:t>
      </w:r>
      <w:r>
        <w:rPr>
          <w:iCs/>
          <w:i/>
        </w:rPr>
        <w:t xml:space="preserve">not at all concerned</w:t>
      </w:r>
      <w:r>
        <w:t xml:space="preserve"> </w:t>
      </w:r>
      <w:r>
        <w:t xml:space="preserve">= 23.0%, 1.4% SE;</w:t>
      </w:r>
      <w:r>
        <w:t xml:space="preserve"> </w:t>
      </w:r>
      <w:r>
        <w:rPr>
          <w:iCs/>
          <w:i/>
        </w:rPr>
        <w:t xml:space="preserve">slightly concerned</w:t>
      </w:r>
      <w:r>
        <w:t xml:space="preserve"> </w:t>
      </w:r>
      <w:r>
        <w:t xml:space="preserve">= 17.8%,</w:t>
      </w:r>
      <w:r>
        <w:t xml:space="preserve"> </w:t>
      </w:r>
      <w:r>
        <w:t xml:space="preserve">1.2% SE) were sources of least concern.</w:t>
      </w:r>
    </w:p>
    <w:p>
      <w:pPr>
        <w:pStyle w:val="CaptionedFigure"/>
      </w:pPr>
      <w:r>
        <w:drawing>
          <wp:inline>
            <wp:extent cx="5504749" cy="6055224"/>
            <wp:effectExtent b="0" l="0" r="0" t="0"/>
            <wp:docPr descr="Figure 2. Primary drinking water model coefficients (odds-ratios) and 95% CIs. Odds-ratios are relative to unfiltered tap water." title="" id="33" name="Picture"/>
            <a:graphic>
              <a:graphicData uri="http://schemas.openxmlformats.org/drawingml/2006/picture">
                <pic:pic>
                  <pic:nvPicPr>
                    <pic:cNvPr descr="_main_files/figure-docx/m2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6055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5" w:name="fig:m2"/>
      <w:bookmarkEnd w:id="35"/>
      <w:r>
        <w:rPr>
          <w:bCs/>
          <w:b/>
        </w:rPr>
        <w:t xml:space="preserve">Figure 2.</w:t>
      </w:r>
      <w:r>
        <w:t xml:space="preserve"> </w:t>
      </w:r>
      <w:r>
        <w:t xml:space="preserve">Primary drinking water model coefficients (odds-ratios) and 95% CIs. Odds-ratios are relative to unfiltered tap water.</w:t>
      </w:r>
    </w:p>
    <w:p>
      <w:pPr>
        <w:pStyle w:val="BodyText"/>
      </w:pPr>
      <w:r>
        <w:t xml:space="preserve">Based on the multinomial regression model, we found limited effects of</w:t>
      </w:r>
      <w:r>
        <w:t xml:space="preserve"> </w:t>
      </w:r>
      <w:r>
        <w:t xml:space="preserve">demographic variables, drinking water sources, and experience with odd taste,</w:t>
      </w:r>
      <w:r>
        <w:t xml:space="preserve"> </w:t>
      </w:r>
      <w:r>
        <w:t xml:space="preserve">color, or smell on the odds of using bottled drinking water compared to</w:t>
      </w:r>
      <w:r>
        <w:t xml:space="preserve"> </w:t>
      </w:r>
      <w:r>
        <w:t xml:space="preserve">unfiltered drinking water (Figure</w:t>
      </w:r>
      <w:r>
        <w:t xml:space="preserve"> </w:t>
      </w:r>
      <w:r>
        <w:t xml:space="preserve">2</w:t>
      </w:r>
      <w:r>
        <w:t xml:space="preserve">, Table S3). Notably, females had 1.49 times the odds</w:t>
      </w:r>
      <w:r>
        <w:t xml:space="preserve"> </w:t>
      </w:r>
      <w:r>
        <w:t xml:space="preserve">(95% CI [1.02, 2.17]) of using bottled drinking water instead of unfiltered</w:t>
      </w:r>
      <w:r>
        <w:t xml:space="preserve"> </w:t>
      </w:r>
      <w:r>
        <w:t xml:space="preserve">tap water compared to males. Non-whites had 1.59 times the odds</w:t>
      </w:r>
      <w:r>
        <w:t xml:space="preserve"> </w:t>
      </w:r>
      <w:r>
        <w:t xml:space="preserve">(95% CI [1.01, 2.52]) of using bottled drinking water instead of unfiltered</w:t>
      </w:r>
      <w:r>
        <w:t xml:space="preserve"> </w:t>
      </w:r>
      <w:r>
        <w:t xml:space="preserve">drinking water compared to white respondents. Renters had 1.64 times the odds</w:t>
      </w:r>
      <w:r>
        <w:t xml:space="preserve"> </w:t>
      </w:r>
      <w:r>
        <w:t xml:space="preserve">(95% CI [1.07, 2.50]) compared to homeowners.</w:t>
      </w:r>
    </w:p>
    <w:p>
      <w:pPr>
        <w:pStyle w:val="BodyText"/>
      </w:pPr>
      <w:r>
        <w:t xml:space="preserve">Conversely, older respondents were more likely to use unfiltered drinking water</w:t>
      </w:r>
      <w:r>
        <w:t xml:space="preserve"> </w:t>
      </w:r>
      <w:r>
        <w:t xml:space="preserve">compared to filtered water (45:54 age group: OR = 0.29, 95% CI [0.132, 9.636];</w:t>
      </w:r>
      <w:r>
        <w:t xml:space="preserve"> </w:t>
      </w:r>
      <w:r>
        <w:t xml:space="preserve">55:64 age group: OR = 0.29, 95% CI [0.130, 0.647]; 65+ age group: OR = 0.278,</w:t>
      </w:r>
      <w:r>
        <w:t xml:space="preserve"> </w:t>
      </w:r>
      <w:r>
        <w:t xml:space="preserve">95% CI [0.002, 1.25]) but there was not strong evidence for differences</w:t>
      </w:r>
      <w:r>
        <w:t xml:space="preserve"> </w:t>
      </w:r>
      <w:r>
        <w:t xml:space="preserve">in odds between bottled water and unfiltered drinking water among any of the</w:t>
      </w:r>
      <w:r>
        <w:t xml:space="preserve"> </w:t>
      </w:r>
      <w:r>
        <w:t xml:space="preserve">age groups. Education also showed strong effects on the use of filtered drinking</w:t>
      </w:r>
      <w:r>
        <w:t xml:space="preserve"> </w:t>
      </w:r>
      <w:r>
        <w:t xml:space="preserve">water. Having a bachelor’s degree resulted in 4.31 times the odds of using</w:t>
      </w:r>
      <w:r>
        <w:t xml:space="preserve"> </w:t>
      </w:r>
      <w:r>
        <w:t xml:space="preserve">filtered drinking water compared to those not graduating high school.</w:t>
      </w:r>
      <w:r>
        <w:t xml:space="preserve"> </w:t>
      </w:r>
      <w:r>
        <w:t xml:space="preserve">A master’s degree had a similarly large effect (OR = 3.06, 95% CI [1.09, 8,59]).</w:t>
      </w:r>
    </w:p>
    <w:bookmarkEnd w:id="36"/>
    <w:bookmarkStart w:id="41" w:name="sources-of-information"/>
    <w:p>
      <w:pPr>
        <w:pStyle w:val="Heading2"/>
      </w:pPr>
      <w:r>
        <w:t xml:space="preserve">Sources of information</w:t>
      </w:r>
    </w:p>
    <w:p>
      <w:pPr>
        <w:pStyle w:val="CaptionedFigure"/>
      </w:pPr>
      <w:r>
        <w:drawing>
          <wp:inline>
            <wp:extent cx="5504749" cy="3400711"/>
            <wp:effectExtent b="0" l="0" r="0" t="0"/>
            <wp:docPr descr="Figure 3. Sources of drinking water quality information." title="" id="38" name="Picture"/>
            <a:graphic>
              <a:graphicData uri="http://schemas.openxmlformats.org/drawingml/2006/picture">
                <pic:pic>
                  <pic:nvPicPr>
                    <pic:cNvPr descr="_main_files/figure-docx/q12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400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40" w:name="fig:q12"/>
      <w:bookmarkEnd w:id="40"/>
      <w:r>
        <w:rPr>
          <w:bCs/>
          <w:b/>
        </w:rPr>
        <w:t xml:space="preserve">Figure 3.</w:t>
      </w:r>
      <w:r>
        <w:t xml:space="preserve"> </w:t>
      </w:r>
      <w:r>
        <w:t xml:space="preserve">Sources of drinking water quality information.</w:t>
      </w:r>
    </w:p>
    <w:p>
      <w:pPr>
        <w:pStyle w:val="BodyText"/>
      </w:pPr>
      <w:r>
        <w:t xml:space="preserve">Water providers appear to be the most relied upon source for information on</w:t>
      </w:r>
      <w:r>
        <w:t xml:space="preserve"> </w:t>
      </w:r>
      <w:r>
        <w:t xml:space="preserve">drinking water with 13.9% (1.1% SE) and 16.4% (1.2% SE) of responses indicating</w:t>
      </w:r>
      <w:r>
        <w:t xml:space="preserve"> </w:t>
      </w:r>
      <w:r>
        <w:t xml:space="preserve">water providers are</w:t>
      </w:r>
      <w:r>
        <w:t xml:space="preserve"> </w:t>
      </w:r>
      <w:r>
        <w:rPr>
          <w:iCs/>
          <w:i/>
        </w:rPr>
        <w:t xml:space="preserve">always</w:t>
      </w:r>
      <w:r>
        <w:t xml:space="preserve"> </w:t>
      </w:r>
      <w:r>
        <w:t xml:space="preserve">or</w:t>
      </w:r>
      <w:r>
        <w:t xml:space="preserve"> </w:t>
      </w:r>
      <w:r>
        <w:rPr>
          <w:iCs/>
          <w:i/>
        </w:rPr>
        <w:t xml:space="preserve">often</w:t>
      </w:r>
      <w:r>
        <w:t xml:space="preserve"> </w:t>
      </w:r>
      <w:r>
        <w:t xml:space="preserve">used as a source of information</w:t>
      </w:r>
      <w:r>
        <w:t xml:space="preserve"> </w:t>
      </w:r>
      <w:r>
        <w:t xml:space="preserve">(Figure</w:t>
      </w:r>
      <w:r>
        <w:t xml:space="preserve"> </w:t>
      </w:r>
      <w:r>
        <w:t xml:space="preserve">3</w:t>
      </w:r>
      <w:r>
        <w:t xml:space="preserve">). Both social media (</w:t>
      </w:r>
      <w:r>
        <w:rPr>
          <w:iCs/>
          <w:i/>
        </w:rPr>
        <w:t xml:space="preserve">always</w:t>
      </w:r>
      <w:r>
        <w:t xml:space="preserve"> </w:t>
      </w:r>
      <w:r>
        <w:t xml:space="preserve">= 11.5%, ±1% SE;</w:t>
      </w:r>
      <w:r>
        <w:t xml:space="preserve"> </w:t>
      </w:r>
      <w:r>
        <w:rPr>
          <w:iCs/>
          <w:i/>
        </w:rPr>
        <w:t xml:space="preserve">often</w:t>
      </w:r>
      <w:r>
        <w:t xml:space="preserve"> </w:t>
      </w:r>
      <w:r>
        <w:t xml:space="preserve">= 15.2%, ±1.1% SE)</w:t>
      </w:r>
      <w:r>
        <w:t xml:space="preserve"> </w:t>
      </w:r>
      <w:r>
        <w:t xml:space="preserve">and word-of-mouth (</w:t>
      </w:r>
      <w:r>
        <w:rPr>
          <w:iCs/>
          <w:i/>
        </w:rPr>
        <w:t xml:space="preserve">always</w:t>
      </w:r>
      <w:r>
        <w:t xml:space="preserve"> </w:t>
      </w:r>
      <w:r>
        <w:t xml:space="preserve">= 9.4%, ±1% SE;</w:t>
      </w:r>
      <w:r>
        <w:t xml:space="preserve"> </w:t>
      </w:r>
      <w:r>
        <w:rPr>
          <w:iCs/>
          <w:i/>
        </w:rPr>
        <w:t xml:space="preserve">often</w:t>
      </w:r>
      <w:r>
        <w:t xml:space="preserve"> </w:t>
      </w:r>
      <w:r>
        <w:t xml:space="preserve">= 17.6%, ±1.2% SE) are also frequent</w:t>
      </w:r>
      <w:r>
        <w:t xml:space="preserve"> </w:t>
      </w:r>
      <w:r>
        <w:t xml:space="preserve">sources of information with similar or higher usage than local news agencies</w:t>
      </w:r>
      <w:r>
        <w:t xml:space="preserve"> </w:t>
      </w:r>
      <w:r>
        <w:t xml:space="preserve">(</w:t>
      </w:r>
      <w:r>
        <w:rPr>
          <w:iCs/>
          <w:i/>
        </w:rPr>
        <w:t xml:space="preserve">always</w:t>
      </w:r>
      <w:r>
        <w:t xml:space="preserve"> </w:t>
      </w:r>
      <w:r>
        <w:t xml:space="preserve">= 8.7%, ±0.9% SE;</w:t>
      </w:r>
      <w:r>
        <w:t xml:space="preserve"> </w:t>
      </w:r>
      <w:r>
        <w:rPr>
          <w:iCs/>
          <w:i/>
        </w:rPr>
        <w:t xml:space="preserve">often</w:t>
      </w:r>
      <w:r>
        <w:t xml:space="preserve"> </w:t>
      </w:r>
      <w:r>
        <w:t xml:space="preserve">= 14.3%, ±1.1% SE) or local newspapers</w:t>
      </w:r>
      <w:r>
        <w:t xml:space="preserve"> </w:t>
      </w:r>
      <w:r>
        <w:t xml:space="preserve">(</w:t>
      </w:r>
      <w:r>
        <w:rPr>
          <w:iCs/>
          <w:i/>
        </w:rPr>
        <w:t xml:space="preserve">always</w:t>
      </w:r>
      <w:r>
        <w:t xml:space="preserve"> </w:t>
      </w:r>
      <w:r>
        <w:t xml:space="preserve">= 6.6%, ±0.8% SE;</w:t>
      </w:r>
      <w:r>
        <w:t xml:space="preserve"> </w:t>
      </w:r>
      <w:r>
        <w:rPr>
          <w:iCs/>
          <w:i/>
        </w:rPr>
        <w:t xml:space="preserve">often</w:t>
      </w:r>
      <w:r>
        <w:t xml:space="preserve"> </w:t>
      </w:r>
      <w:r>
        <w:t xml:space="preserve">= 15.3%, ±1.1% SE). Some of the least</w:t>
      </w:r>
      <w:r>
        <w:t xml:space="preserve"> </w:t>
      </w:r>
      <w:r>
        <w:t xml:space="preserve">utilized sources included radio or podcasts (</w:t>
      </w:r>
      <w:r>
        <w:rPr>
          <w:iCs/>
          <w:i/>
        </w:rPr>
        <w:t xml:space="preserve">never</w:t>
      </w:r>
      <w:r>
        <w:t xml:space="preserve"> </w:t>
      </w:r>
      <w:r>
        <w:t xml:space="preserve">= 40.5%, ±1.6% SE;</w:t>
      </w:r>
      <w:r>
        <w:t xml:space="preserve"> </w:t>
      </w:r>
      <w:r>
        <w:rPr>
          <w:iCs/>
          <w:i/>
        </w:rPr>
        <w:t xml:space="preserve">occasionally</w:t>
      </w:r>
      <w:r>
        <w:t xml:space="preserve"> </w:t>
      </w:r>
      <w:r>
        <w:t xml:space="preserve">= 20.1%, ±1.3% SE), email (</w:t>
      </w:r>
      <w:r>
        <w:rPr>
          <w:iCs/>
          <w:i/>
        </w:rPr>
        <w:t xml:space="preserve">never</w:t>
      </w:r>
      <w:r>
        <w:t xml:space="preserve"> </w:t>
      </w:r>
      <w:r>
        <w:t xml:space="preserve">= 46.7%,</w:t>
      </w:r>
      <w:r>
        <w:t xml:space="preserve"> </w:t>
      </w:r>
      <w:r>
        <w:t xml:space="preserve">±1.6% SE;</w:t>
      </w:r>
      <w:r>
        <w:t xml:space="preserve"> </w:t>
      </w:r>
      <w:r>
        <w:rPr>
          <w:iCs/>
          <w:i/>
        </w:rPr>
        <w:t xml:space="preserve">occasionally</w:t>
      </w:r>
      <w:r>
        <w:t xml:space="preserve"> </w:t>
      </w:r>
      <w:r>
        <w:t xml:space="preserve">= 19.6%, ±1.3% SE), national newspapers (</w:t>
      </w:r>
      <w:r>
        <w:rPr>
          <w:iCs/>
          <w:i/>
        </w:rPr>
        <w:t xml:space="preserve">never</w:t>
      </w:r>
      <w:r>
        <w:t xml:space="preserve"> </w:t>
      </w:r>
      <w:r>
        <w:t xml:space="preserve">=</w:t>
      </w:r>
      <w:r>
        <w:t xml:space="preserve"> </w:t>
      </w:r>
      <w:r>
        <w:t xml:space="preserve">51.8%, ±1.6% SE;</w:t>
      </w:r>
      <w:r>
        <w:t xml:space="preserve"> </w:t>
      </w:r>
      <w:r>
        <w:rPr>
          <w:iCs/>
          <w:i/>
        </w:rPr>
        <w:t xml:space="preserve">occasionally</w:t>
      </w:r>
      <w:r>
        <w:t xml:space="preserve"> </w:t>
      </w:r>
      <w:r>
        <w:t xml:space="preserve">= 16.7%, ±1.2% SE), and government agencies</w:t>
      </w:r>
      <w:r>
        <w:t xml:space="preserve"> </w:t>
      </w:r>
      <w:r>
        <w:t xml:space="preserve">(</w:t>
      </w:r>
      <w:r>
        <w:rPr>
          <w:iCs/>
          <w:i/>
        </w:rPr>
        <w:t xml:space="preserve">never</w:t>
      </w:r>
      <w:r>
        <w:t xml:space="preserve"> </w:t>
      </w:r>
      <w:r>
        <w:t xml:space="preserve">= 37.5%, ±1.6% SE;</w:t>
      </w:r>
      <w:r>
        <w:t xml:space="preserve"> </w:t>
      </w:r>
      <w:r>
        <w:rPr>
          <w:iCs/>
          <w:i/>
        </w:rPr>
        <w:t xml:space="preserve">occasionally</w:t>
      </w:r>
      <w:r>
        <w:t xml:space="preserve"> </w:t>
      </w:r>
      <w:r>
        <w:t xml:space="preserve">= 22.4%, ±1.4% SE).</w:t>
      </w:r>
    </w:p>
    <w:bookmarkEnd w:id="41"/>
    <w:bookmarkStart w:id="54" w:name="Xab98f3c069e7db9262aca95652bbbeb3bc5016a"/>
    <w:p>
      <w:pPr>
        <w:pStyle w:val="Heading2"/>
      </w:pPr>
      <w:r>
        <w:t xml:space="preserve">Perceived responsibility, trust, and safety</w:t>
      </w:r>
    </w:p>
    <w:p>
      <w:pPr>
        <w:pStyle w:val="CaptionedFigure"/>
      </w:pPr>
      <w:r>
        <w:drawing>
          <wp:inline>
            <wp:extent cx="2971800" cy="5943600"/>
            <wp:effectExtent b="0" l="0" r="0" t="0"/>
            <wp:docPr descr="Figure 4. Weighted response percentages for the level of responsibility people believe different entities have for ensuring drinking water safety. Points represent the population-level estimated percent response, error bars are the 95% confidence intervals." title="" id="43" name="Picture"/>
            <a:graphic>
              <a:graphicData uri="http://schemas.openxmlformats.org/drawingml/2006/picture">
                <pic:pic>
                  <pic:nvPicPr>
                    <pic:cNvPr descr="_main_files/figure-docx/q14-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45" w:name="fig:q14"/>
      <w:bookmarkEnd w:id="45"/>
      <w:r>
        <w:rPr>
          <w:bCs/>
          <w:b/>
        </w:rPr>
        <w:t xml:space="preserve">Figure 4.</w:t>
      </w:r>
      <w:r>
        <w:t xml:space="preserve"> </w:t>
      </w:r>
      <w:r>
        <w:t xml:space="preserve">Weighted response percentages for the level of responsibility people believe different entities have for ensuring drinking water safety. Points represent the population-level estimated percent response, error bars are the 95% confidence intervals.</w:t>
      </w:r>
    </w:p>
    <w:p>
      <w:pPr>
        <w:pStyle w:val="BodyText"/>
      </w:pPr>
      <w:r>
        <w:t xml:space="preserve">53.3% (95% CI [50.1%, 56.4%])</w:t>
      </w:r>
      <w:r>
        <w:t xml:space="preserve"> </w:t>
      </w:r>
      <w:r>
        <w:t xml:space="preserve">of people said that water utilities have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full responsibility</w:t>
      </w:r>
      <w:r>
        <w:rPr>
          <w:iCs/>
          <w:i/>
        </w:rPr>
        <w:t xml:space="preserve">”</w:t>
      </w:r>
      <w:r>
        <w:t xml:space="preserve"> </w:t>
      </w:r>
      <w:r>
        <w:t xml:space="preserve">for ensuring</w:t>
      </w:r>
      <w:r>
        <w:t xml:space="preserve"> </w:t>
      </w:r>
      <w:r>
        <w:t xml:space="preserve">drinking water safety (Figure</w:t>
      </w:r>
      <w:r>
        <w:t xml:space="preserve"> </w:t>
      </w:r>
      <w:r>
        <w:t xml:space="preserve">4</w:t>
      </w:r>
      <w:r>
        <w:t xml:space="preserve">).</w:t>
      </w:r>
      <w:r>
        <w:t xml:space="preserve"> </w:t>
      </w:r>
      <w:r>
        <w:t xml:space="preserve">Local and state government also received high percentages of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full responsibility</w:t>
      </w:r>
      <w:r>
        <w:rPr>
          <w:iCs/>
          <w:i/>
        </w:rPr>
        <w:t xml:space="preserve">”</w:t>
      </w:r>
      <w:r>
        <w:t xml:space="preserve"> </w:t>
      </w:r>
      <w:r>
        <w:t xml:space="preserve">by the public</w:t>
      </w:r>
      <w:r>
        <w:t xml:space="preserve"> </w:t>
      </w:r>
      <w:r>
        <w:t xml:space="preserve">(local government = 40.7%, 95% CI [37.6%, 43.8%];</w:t>
      </w:r>
      <w:r>
        <w:t xml:space="preserve"> </w:t>
      </w:r>
      <w:r>
        <w:t xml:space="preserve">state government = 36.6%, 95% CI [33.5%, 39.7%]).</w:t>
      </w:r>
      <w:r>
        <w:t xml:space="preserve"> </w:t>
      </w:r>
      <w:r>
        <w:t xml:space="preserve">Relative to other governmental institutions, fewer people felt the federal</w:t>
      </w:r>
      <w:r>
        <w:t xml:space="preserve"> </w:t>
      </w:r>
      <w:r>
        <w:t xml:space="preserve">government had full responsibility</w:t>
      </w:r>
      <w:r>
        <w:t xml:space="preserve"> </w:t>
      </w:r>
      <w:r>
        <w:t xml:space="preserve">(27.9%, 95% CI [25.1%, 30.8%])</w:t>
      </w:r>
      <w:r>
        <w:t xml:space="preserve"> </w:t>
      </w:r>
      <w:r>
        <w:t xml:space="preserve">for drinking water safety but a relatively higher percentage indicated</w:t>
      </w:r>
      <w:r>
        <w:t xml:space="preserve"> </w:t>
      </w:r>
      <w:r>
        <w:t xml:space="preserve">the federal government has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moderate responsibility</w:t>
      </w:r>
      <w:r>
        <w:rPr>
          <w:iCs/>
          <w:i/>
        </w:rPr>
        <w:t xml:space="preserve">”</w:t>
      </w:r>
      <w:r>
        <w:t xml:space="preserve"> </w:t>
      </w:r>
      <w:r>
        <w:t xml:space="preserve">(30.1%, 95% CI [27.3%, 33.1%]).</w:t>
      </w:r>
      <w:r>
        <w:t xml:space="preserve"> </w:t>
      </w:r>
      <w:r>
        <w:t xml:space="preserve">Moderate responsibility was the most common response for the level of</w:t>
      </w:r>
      <w:r>
        <w:t xml:space="preserve"> </w:t>
      </w:r>
      <w:r>
        <w:t xml:space="preserve">responsibility attributed to household residents</w:t>
      </w:r>
      <w:r>
        <w:t xml:space="preserve"> </w:t>
      </w:r>
      <w:r>
        <w:t xml:space="preserve">(26.6%, 95% CI [24.0%, 29.5%])</w:t>
      </w:r>
      <w:r>
        <w:t xml:space="preserve"> </w:t>
      </w:r>
      <w:r>
        <w:t xml:space="preserve">and landlords/property managers</w:t>
      </w:r>
      <w:r>
        <w:t xml:space="preserve"> </w:t>
      </w:r>
      <w:r>
        <w:t xml:space="preserve">(27.6%, 95% CI [24.9%, 30.5%]).</w:t>
      </w:r>
      <w:r>
        <w:t xml:space="preserve"> </w:t>
      </w:r>
      <w:r>
        <w:t xml:space="preserve">A relatively high proportion of responses indicated residents have no</w:t>
      </w:r>
      <w:r>
        <w:t xml:space="preserve"> </w:t>
      </w:r>
      <w:r>
        <w:t xml:space="preserve">responsibility for drinking water quality</w:t>
      </w:r>
      <w:r>
        <w:t xml:space="preserve"> </w:t>
      </w:r>
      <w:r>
        <w:t xml:space="preserve">(16.4%, 95% CI [14.1%, 19.0%]).</w:t>
      </w:r>
    </w:p>
    <w:p>
      <w:pPr>
        <w:pStyle w:val="CaptionedFigure"/>
      </w:pPr>
      <w:r>
        <w:drawing>
          <wp:inline>
            <wp:extent cx="2971800" cy="5943600"/>
            <wp:effectExtent b="0" l="0" r="0" t="0"/>
            <wp:docPr descr="Figure 5. Weighted response percentages for the level of trust people have in the entities responsible for ensuring drinking water safety. Points represent the population-level estimated percent response, error bars are the 95% confidence intervals." title="" id="47" name="Picture"/>
            <a:graphic>
              <a:graphicData uri="http://schemas.openxmlformats.org/drawingml/2006/picture">
                <pic:pic>
                  <pic:nvPicPr>
                    <pic:cNvPr descr="_main_files/figure-docx/q15-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49" w:name="fig:q15"/>
      <w:bookmarkEnd w:id="49"/>
      <w:r>
        <w:rPr>
          <w:bCs/>
          <w:b/>
        </w:rPr>
        <w:t xml:space="preserve">Figure 5.</w:t>
      </w:r>
      <w:r>
        <w:t xml:space="preserve"> </w:t>
      </w:r>
      <w:r>
        <w:t xml:space="preserve">Weighted response percentages for the level of trust people have in the entities responsible for ensuring drinking water safety. Points represent the population-level estimated percent response, error bars are the 95% confidence intervals.</w:t>
      </w:r>
    </w:p>
    <w:p>
      <w:pPr>
        <w:pStyle w:val="BodyText"/>
      </w:pPr>
      <w:r>
        <w:t xml:space="preserve">Water utilities were more trusted by the public than other governmental</w:t>
      </w:r>
      <w:r>
        <w:t xml:space="preserve"> </w:t>
      </w:r>
      <w:r>
        <w:t xml:space="preserve">institutions (Figure</w:t>
      </w:r>
      <w:r>
        <w:t xml:space="preserve"> </w:t>
      </w:r>
      <w:r>
        <w:t xml:space="preserve">5</w:t>
      </w:r>
      <w:r>
        <w:t xml:space="preserve">). We found a higher percentage of respondents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fully trust</w:t>
      </w:r>
      <w:r>
        <w:rPr>
          <w:iCs/>
          <w:i/>
        </w:rPr>
        <w:t xml:space="preserve">”</w:t>
      </w:r>
      <w:r>
        <w:t xml:space="preserve"> </w:t>
      </w:r>
      <w:r>
        <w:t xml:space="preserve">water utilities</w:t>
      </w:r>
      <w:r>
        <w:t xml:space="preserve"> </w:t>
      </w:r>
      <w:r>
        <w:t xml:space="preserve">(11.6%, 95% CI [9.7%, 13.8%])</w:t>
      </w:r>
      <w:r>
        <w:t xml:space="preserve"> </w:t>
      </w:r>
      <w:r>
        <w:t xml:space="preserve">for making sure that drinking water is safe compared to state</w:t>
      </w:r>
      <w:r>
        <w:t xml:space="preserve"> </w:t>
      </w:r>
      <w:r>
        <w:t xml:space="preserve">(7.6%, 95% CI [6.1%, 9.4%]),</w:t>
      </w:r>
      <w:r>
        <w:t xml:space="preserve"> </w:t>
      </w:r>
      <w:r>
        <w:t xml:space="preserve">local (7.1%, 95% CI [5.6%, 8.9%]),</w:t>
      </w:r>
      <w:r>
        <w:t xml:space="preserve"> </w:t>
      </w:r>
      <w:r>
        <w:t xml:space="preserve">and the federal government</w:t>
      </w:r>
      <w:r>
        <w:t xml:space="preserve"> </w:t>
      </w:r>
      <w:r>
        <w:t xml:space="preserve">(6.5%, 95% CI [5.1%, 8.2%]).</w:t>
      </w:r>
      <w:r>
        <w:t xml:space="preserve"> </w:t>
      </w:r>
      <w:r>
        <w:t xml:space="preserve">Water utilities and local government had higher rates of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mostly trust</w:t>
      </w:r>
      <w:r>
        <w:rPr>
          <w:iCs/>
          <w:i/>
        </w:rPr>
        <w:t xml:space="preserve">”</w:t>
      </w:r>
      <w:r>
        <w:t xml:space="preserve"> </w:t>
      </w:r>
      <w:r>
        <w:t xml:space="preserve">responses</w:t>
      </w:r>
      <w:r>
        <w:t xml:space="preserve"> </w:t>
      </w:r>
      <w:r>
        <w:t xml:space="preserve">(water utility = 22.3%, 95% CI [19.8%, 25.0%],</w:t>
      </w:r>
      <w:r>
        <w:t xml:space="preserve"> </w:t>
      </w:r>
      <w:r>
        <w:t xml:space="preserve">local government = 17.9%, 95% CI [15.6%, 20.4%])</w:t>
      </w:r>
      <w:r>
        <w:t xml:space="preserve"> </w:t>
      </w:r>
      <w:r>
        <w:t xml:space="preserve">relative to state government (14.2%, 95% CI [12.1%, 16.4%]) and federal government (12.5%, 95% CI [10.6%, 14.7%]).</w:t>
      </w:r>
    </w:p>
    <w:p>
      <w:pPr>
        <w:pStyle w:val="BodyText"/>
      </w:pPr>
      <w:r>
        <w:t xml:space="preserve">The federal government received the highest rates of distrust with</w:t>
      </w:r>
      <w:r>
        <w:t xml:space="preserve"> </w:t>
      </w:r>
      <w:r>
        <w:t xml:space="preserve">30.3% (95% CI [27.4%, 33.3%])</w:t>
      </w:r>
      <w:r>
        <w:t xml:space="preserve"> </w:t>
      </w:r>
      <w:r>
        <w:t xml:space="preserve">of responses indicating they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do not trust at all</w:t>
      </w:r>
      <w:r>
        <w:rPr>
          <w:iCs/>
          <w:i/>
        </w:rPr>
        <w:t xml:space="preserve">”</w:t>
      </w:r>
      <w:r>
        <w:t xml:space="preserve"> </w:t>
      </w:r>
      <w:r>
        <w:t xml:space="preserve">the federal government</w:t>
      </w:r>
      <w:r>
        <w:t xml:space="preserve"> </w:t>
      </w:r>
      <w:r>
        <w:t xml:space="preserve">for ensuring safety of their drinking water (Figure</w:t>
      </w:r>
      <w:r>
        <w:t xml:space="preserve"> </w:t>
      </w:r>
      <w:r>
        <w:t xml:space="preserve">5</w:t>
      </w:r>
      <w:r>
        <w:t xml:space="preserve">).</w:t>
      </w:r>
      <w:r>
        <w:t xml:space="preserve"> </w:t>
      </w:r>
      <w:r>
        <w:t xml:space="preserve">State and local governments fared slightly better with distrust, with</w:t>
      </w:r>
      <w:r>
        <w:t xml:space="preserve"> </w:t>
      </w:r>
      <w:r>
        <w:t xml:space="preserve">20.9% (95% CI [18.4%, 23.7%])</w:t>
      </w:r>
      <w:r>
        <w:t xml:space="preserve"> </w:t>
      </w:r>
      <w:r>
        <w:t xml:space="preserve">and 21.8% (95% CI [19.3%, 24.6%])</w:t>
      </w:r>
      <w:r>
        <w:t xml:space="preserve"> </w:t>
      </w:r>
      <w:r>
        <w:t xml:space="preserve">of responses stating they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do not trust at all</w:t>
      </w:r>
      <w:r>
        <w:rPr>
          <w:iCs/>
          <w:i/>
        </w:rPr>
        <w:t xml:space="preserve">”</w:t>
      </w:r>
      <w:r>
        <w:t xml:space="preserve"> </w:t>
      </w:r>
      <w:r>
        <w:t xml:space="preserve">state and local government respectively</w:t>
      </w:r>
      <w:r>
        <w:t xml:space="preserve"> </w:t>
      </w:r>
      <w:r>
        <w:t xml:space="preserve">for ensuring safety of drinking water.</w:t>
      </w:r>
      <w:r>
        <w:t xml:space="preserve"> </w:t>
      </w:r>
      <w:r>
        <w:t xml:space="preserve">Water utilities fared the best among governmental institutions for distrust with</w:t>
      </w:r>
      <w:r>
        <w:t xml:space="preserve"> </w:t>
      </w:r>
      <w:r>
        <w:t xml:space="preserve">14.9% (95% CI [12.7%, 17.4%])</w:t>
      </w:r>
      <w:r>
        <w:t xml:space="preserve"> </w:t>
      </w:r>
      <w:r>
        <w:t xml:space="preserve">indicating they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do not trust at all</w:t>
      </w:r>
      <w:r>
        <w:rPr>
          <w:iCs/>
          <w:i/>
        </w:rPr>
        <w:t xml:space="preserve">”</w:t>
      </w:r>
      <w:r>
        <w:t xml:space="preserve"> </w:t>
      </w:r>
      <w:r>
        <w:t xml:space="preserve">water utilities for ensuring safety of</w:t>
      </w:r>
      <w:r>
        <w:t xml:space="preserve"> </w:t>
      </w:r>
      <w:r>
        <w:t xml:space="preserve">drinking water.</w:t>
      </w:r>
    </w:p>
    <w:p>
      <w:pPr>
        <w:pStyle w:val="BodyText"/>
      </w:pPr>
      <w:r>
        <w:t xml:space="preserve">Landlords/property managers received rates of trust and distrust that appear</w:t>
      </w:r>
      <w:r>
        <w:t xml:space="preserve"> </w:t>
      </w:r>
      <w:r>
        <w:t xml:space="preserve">very similar to response rates for the federal government</w:t>
      </w:r>
      <w:r>
        <w:t xml:space="preserve"> </w:t>
      </w:r>
      <w:r>
        <w:t xml:space="preserve">(</w:t>
      </w:r>
      <w:r>
        <w:rPr>
          <w:iCs/>
          <w:i/>
        </w:rPr>
        <w:t xml:space="preserve">“</w:t>
      </w:r>
      <w:r>
        <w:rPr>
          <w:iCs/>
          <w:i/>
        </w:rPr>
        <w:t xml:space="preserve">fully trust</w:t>
      </w:r>
      <w:r>
        <w:rPr>
          <w:iCs/>
          <w:i/>
        </w:rPr>
        <w:t xml:space="preserve">”</w:t>
      </w:r>
      <w:r>
        <w:t xml:space="preserve"> </w:t>
      </w:r>
      <w:r>
        <w:t xml:space="preserve">= 7.3%, 95% CI [5.8%, 9.2%];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do not trust at all</w:t>
      </w:r>
      <w:r>
        <w:rPr>
          <w:iCs/>
          <w:i/>
        </w:rPr>
        <w:t xml:space="preserve">”</w:t>
      </w:r>
      <w:r>
        <w:t xml:space="preserve"> </w:t>
      </w:r>
      <w:r>
        <w:t xml:space="preserve">= 28.3%, 95% CI [25.5%, 31.3%]).</w:t>
      </w:r>
      <w:r>
        <w:t xml:space="preserve"> </w:t>
      </w:r>
      <w:r>
        <w:t xml:space="preserve">Comparatively, household residents received the highest responses rates for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fully trust</w:t>
      </w:r>
      <w:r>
        <w:rPr>
          <w:iCs/>
          <w:i/>
        </w:rPr>
        <w:t xml:space="preserve">”</w:t>
      </w:r>
      <w:r>
        <w:t xml:space="preserve"> </w:t>
      </w:r>
      <w:r>
        <w:t xml:space="preserve">(19.4%, 95% CI [17.0%, 22.1%])</w:t>
      </w:r>
      <w:r>
        <w:t xml:space="preserve"> </w:t>
      </w:r>
      <w:r>
        <w:t xml:space="preserve">and lowest responses rates for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do not trust at all</w:t>
      </w:r>
      <w:r>
        <w:rPr>
          <w:iCs/>
          <w:i/>
        </w:rPr>
        <w:t xml:space="preserve">”</w:t>
      </w:r>
      <w:r>
        <w:t xml:space="preserve"> </w:t>
      </w:r>
      <w:r>
        <w:t xml:space="preserve">(10.9%, 95% CI [9.0%, 13.1%])</w:t>
      </w:r>
      <w:r>
        <w:t xml:space="preserve"> </w:t>
      </w:r>
      <w:r>
        <w:t xml:space="preserve">among all entities.</w:t>
      </w:r>
      <w:r>
        <w:t xml:space="preserve"> </w:t>
      </w:r>
      <w:r>
        <w:t xml:space="preserve">The marginal response rates by primary tap water source (Figure S1) do not</w:t>
      </w:r>
      <w:r>
        <w:t xml:space="preserve"> </w:t>
      </w:r>
      <w:r>
        <w:t xml:space="preserve">suggest that there are strong differences between those on private water sources</w:t>
      </w:r>
      <w:r>
        <w:t xml:space="preserve"> </w:t>
      </w:r>
      <w:r>
        <w:t xml:space="preserve">or public water sources when it comes to trust in the ability of residents to ensure drinking water is safe.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</w:p>
    <w:p>
      <w:pPr>
        <w:pStyle w:val="CaptionedFigure"/>
      </w:pPr>
      <w:r>
        <w:drawing>
          <wp:inline>
            <wp:extent cx="5504749" cy="6055224"/>
            <wp:effectExtent b="0" l="0" r="0" t="0"/>
            <wp:docPr descr="Figure 6. Estimated effect sizes (odds-ratios) and 95% confidence intervals of selected variables on (1) level of trust in drinking water utilities, and (2) perceived safety of drinking water." title="" id="51" name="Picture"/>
            <a:graphic>
              <a:graphicData uri="http://schemas.openxmlformats.org/drawingml/2006/picture">
                <pic:pic>
                  <pic:nvPicPr>
                    <pic:cNvPr descr="_main_files/figure-docx/m1-m3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6055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53" w:name="fig:m1-m3"/>
      <w:bookmarkEnd w:id="53"/>
      <w:r>
        <w:rPr>
          <w:bCs/>
          <w:b/>
        </w:rPr>
        <w:t xml:space="preserve">Figure 6.</w:t>
      </w:r>
      <w:r>
        <w:t xml:space="preserve"> </w:t>
      </w:r>
      <w:r>
        <w:t xml:space="preserve">Estimated effect sizes (odds-ratios) and 95% confidence intervals of selected variables on (1) level of trust in drinking water utilities, and (2) perceived safety of drinking water.</w:t>
      </w:r>
    </w:p>
    <w:p>
      <w:pPr>
        <w:pStyle w:val="BodyText"/>
      </w:pPr>
      <w:r>
        <w:t xml:space="preserve">The proportional odds model provides evidence that sex/gender, home ownership,</w:t>
      </w:r>
      <w:r>
        <w:t xml:space="preserve"> </w:t>
      </w:r>
      <w:r>
        <w:t xml:space="preserve">household tap supply, and experience with taste/odor/color issues are associated</w:t>
      </w:r>
      <w:r>
        <w:t xml:space="preserve"> </w:t>
      </w:r>
      <w:r>
        <w:t xml:space="preserve">with the perception of drinking water safety (Figure</w:t>
      </w:r>
      <w:r>
        <w:t xml:space="preserve"> </w:t>
      </w:r>
      <w:r>
        <w:t xml:space="preserve">6</w:t>
      </w:r>
      <w:r>
        <w:t xml:space="preserve">, Table S4).</w:t>
      </w:r>
      <w:r>
        <w:t xml:space="preserve"> </w:t>
      </w:r>
      <w:r>
        <w:t xml:space="preserve">Females were 1.32 times more likely to rate their drinking</w:t>
      </w:r>
      <w:r>
        <w:t xml:space="preserve"> </w:t>
      </w:r>
      <w:r>
        <w:t xml:space="preserve">water less safe than males (OR = 0.76, 95% CI [0.59, 0.97]).</w:t>
      </w:r>
      <w:r>
        <w:t xml:space="preserve"> </w:t>
      </w:r>
      <w:r>
        <w:t xml:space="preserve">Respondents identifying their gender as other had 7.69 times</w:t>
      </w:r>
      <w:r>
        <w:t xml:space="preserve"> </w:t>
      </w:r>
      <w:r>
        <w:t xml:space="preserve">the odds (OR = 0.13, 95% CI [0.05, 0.32]) of rating their drinking water less safe</w:t>
      </w:r>
      <w:r>
        <w:t xml:space="preserve"> </w:t>
      </w:r>
      <w:r>
        <w:t xml:space="preserve">than male respondents.</w:t>
      </w:r>
      <w:r>
        <w:t xml:space="preserve"> </w:t>
      </w:r>
      <w:r>
        <w:t xml:space="preserve">Home ownership provided a strong signal with renters 1.49 times</w:t>
      </w:r>
      <w:r>
        <w:t xml:space="preserve"> </w:t>
      </w:r>
      <w:r>
        <w:t xml:space="preserve">more likely to provide a lower drinking water safety ranking than homeowners</w:t>
      </w:r>
      <w:r>
        <w:t xml:space="preserve"> </w:t>
      </w:r>
      <w:r>
        <w:t xml:space="preserve">(OR = 0.67, 95% CI [0.51, 0.89]).</w:t>
      </w:r>
      <w:r>
        <w:t xml:space="preserve"> </w:t>
      </w:r>
      <w:r>
        <w:t xml:space="preserve">Respondents on private water supplies had 1.54 times that odds of providing</w:t>
      </w:r>
      <w:r>
        <w:t xml:space="preserve"> </w:t>
      </w:r>
      <w:r>
        <w:t xml:space="preserve">a higher drinking water safety rating than people on municipal supplies</w:t>
      </w:r>
      <w:r>
        <w:t xml:space="preserve"> </w:t>
      </w:r>
      <w:r>
        <w:t xml:space="preserve">(OR = 1.54, 95% CI [1.10, 2.16]).</w:t>
      </w:r>
      <w:r>
        <w:t xml:space="preserve"> </w:t>
      </w:r>
      <w:r>
        <w:t xml:space="preserve">People that experienced taste/odor/color issues with 3.12 times</w:t>
      </w:r>
      <w:r>
        <w:t xml:space="preserve"> </w:t>
      </w:r>
      <w:r>
        <w:t xml:space="preserve">more likely to provide a lower safety rating than those that never experienced</w:t>
      </w:r>
      <w:r>
        <w:t xml:space="preserve"> </w:t>
      </w:r>
      <w:r>
        <w:t xml:space="preserve">an issue (OR = 0.32, 95% CI [0.24, 0.41]).</w:t>
      </w:r>
    </w:p>
    <w:p>
      <w:pPr>
        <w:pStyle w:val="BodyText"/>
      </w:pPr>
      <w:r>
        <w:t xml:space="preserve">We identified difference among some age groups, but a clear pattern was not</w:t>
      </w:r>
      <w:r>
        <w:t xml:space="preserve"> </w:t>
      </w:r>
      <w:r>
        <w:t xml:space="preserve">evident. Respondents in the 45-54 age bracket were 2.22</w:t>
      </w:r>
      <w:r>
        <w:t xml:space="preserve"> </w:t>
      </w:r>
      <w:r>
        <w:t xml:space="preserve">times more likely to provide a lower drinking water safety rating than the</w:t>
      </w:r>
      <w:r>
        <w:t xml:space="preserve"> </w:t>
      </w:r>
      <w:r>
        <w:t xml:space="preserve">18-24 year old age group.</w:t>
      </w:r>
    </w:p>
    <w:bookmarkEnd w:id="54"/>
    <w:bookmarkEnd w:id="55"/>
    <w:bookmarkStart w:id="56" w:name="discussion"/>
    <w:p>
      <w:pPr>
        <w:pStyle w:val="Heading1"/>
      </w:pPr>
      <w:r>
        <w:t xml:space="preserve">Discussion</w:t>
      </w:r>
    </w:p>
    <w:bookmarkEnd w:id="56"/>
    <w:bookmarkStart w:id="57" w:name="conclusion"/>
    <w:p>
      <w:pPr>
        <w:pStyle w:val="Heading1"/>
      </w:pPr>
      <w:r>
        <w:t xml:space="preserve">Conclusion</w:t>
      </w:r>
    </w:p>
    <w:bookmarkEnd w:id="57"/>
    <w:bookmarkStart w:id="58" w:name="supporting-information"/>
    <w:p>
      <w:pPr>
        <w:pStyle w:val="Heading1"/>
      </w:pPr>
      <w:r>
        <w:t xml:space="preserve">Supporting Information</w:t>
      </w:r>
    </w:p>
    <w:p>
      <w:pPr>
        <w:pStyle w:val="FirstParagraph"/>
      </w:pPr>
      <w:r>
        <w:t xml:space="preserve">Additional supporting information may be found online under the Supporting</w:t>
      </w:r>
      <w:r>
        <w:t xml:space="preserve"> </w:t>
      </w:r>
      <w:r>
        <w:t xml:space="preserve">Information tab for this article: Tables with survey questions, unweighted and</w:t>
      </w:r>
      <w:r>
        <w:t xml:space="preserve"> </w:t>
      </w:r>
      <w:r>
        <w:t xml:space="preserve">weighted survey demographics, summary tables for regression models and</w:t>
      </w:r>
      <w:r>
        <w:t xml:space="preserve"> </w:t>
      </w:r>
      <w:r>
        <w:t xml:space="preserve">additional figures of marginal survey responses.</w:t>
      </w:r>
    </w:p>
    <w:bookmarkEnd w:id="58"/>
    <w:bookmarkStart w:id="59" w:name="data-availability"/>
    <w:p>
      <w:pPr>
        <w:pStyle w:val="Heading1"/>
      </w:pPr>
      <w:r>
        <w:t xml:space="preserve">Data Availability</w:t>
      </w:r>
    </w:p>
    <w:p>
      <w:pPr>
        <w:pStyle w:val="FirstParagraph"/>
      </w:pPr>
      <w:r>
        <w:t xml:space="preserve">Data and code used in analysis is publicly available in TBD.</w:t>
      </w:r>
    </w:p>
    <w:bookmarkEnd w:id="59"/>
    <w:bookmarkStart w:id="60" w:name="acknowledgements"/>
    <w:p>
      <w:pPr>
        <w:pStyle w:val="Heading1"/>
      </w:pPr>
      <w:r>
        <w:t xml:space="preserve">Acknowledgements</w:t>
      </w:r>
    </w:p>
    <w:p>
      <w:pPr>
        <w:pStyle w:val="FirstParagraph"/>
      </w:pPr>
      <w:r>
        <w:t xml:space="preserve">TBD</w:t>
      </w:r>
    </w:p>
    <w:bookmarkEnd w:id="60"/>
    <w:bookmarkStart w:id="76" w:name="literature-cited"/>
    <w:p>
      <w:pPr>
        <w:pStyle w:val="Heading1"/>
      </w:pPr>
      <w:r>
        <w:t xml:space="preserve">Literature Cited</w:t>
      </w:r>
    </w:p>
    <w:bookmarkStart w:id="75" w:name="refs"/>
    <w:bookmarkStart w:id="61" w:name="ref-agrestiCategoricalDataAnalysis2002"/>
    <w:p>
      <w:pPr>
        <w:pStyle w:val="Bibliography"/>
      </w:pPr>
      <w:r>
        <w:t xml:space="preserve">Agresti A. 2002. Categorical data analysis. 2nd ed. New York: Wiley-Interscience (Wiley series in probability and statistics).</w:t>
      </w:r>
    </w:p>
    <w:bookmarkEnd w:id="61"/>
    <w:bookmarkStart w:id="63" w:name="ref-debellComputingWeightsAmerican2009"/>
    <w:p>
      <w:pPr>
        <w:pStyle w:val="Bibliography"/>
      </w:pPr>
      <w:r>
        <w:t xml:space="preserve">DeBell M, Krosnick JA. 2009. Computing</w:t>
      </w:r>
      <w:r>
        <w:t xml:space="preserve"> </w:t>
      </w:r>
      <w:r>
        <w:t xml:space="preserve">Weights</w:t>
      </w:r>
      <w:r>
        <w:t xml:space="preserve"> </w:t>
      </w:r>
      <w:r>
        <w:t xml:space="preserve">for</w:t>
      </w:r>
      <w:r>
        <w:t xml:space="preserve"> </w:t>
      </w:r>
      <w:r>
        <w:t xml:space="preserve">American National Election Study Survey Data</w:t>
      </w:r>
      <w:r>
        <w:t xml:space="preserve">. Ann Arbor, MI,; Palo Alto, CA: American National Election Studies Report No.: nes012427.</w:t>
      </w:r>
      <w:r>
        <w:t xml:space="preserve"> </w:t>
      </w:r>
      <w:hyperlink r:id="rId62">
        <w:r>
          <w:rPr>
            <w:rStyle w:val="Hyperlink"/>
          </w:rPr>
          <w:t xml:space="preserve">http://www.electionstudies.org/resources/papers/nes012427.pdf</w:t>
        </w:r>
      </w:hyperlink>
      <w:r>
        <w:t xml:space="preserve">.</w:t>
      </w:r>
    </w:p>
    <w:bookmarkEnd w:id="63"/>
    <w:bookmarkStart w:id="64" w:name="ref-dillmanMailInternetSurveys2011"/>
    <w:p>
      <w:pPr>
        <w:pStyle w:val="Bibliography"/>
      </w:pPr>
      <w:r>
        <w:t xml:space="preserve">Dillman DA. 2011. Mail and internet surveys: The tailored design method. Hoboken, N.J.: Wiley.</w:t>
      </w:r>
    </w:p>
    <w:bookmarkEnd w:id="64"/>
    <w:bookmarkStart w:id="66" w:name="X6d0747e6ca5d2bf24c2be2ec6b24ab68d0a2d91"/>
    <w:p>
      <w:pPr>
        <w:pStyle w:val="Bibliography"/>
      </w:pPr>
      <w:r>
        <w:t xml:space="preserve">Fox J, Monette G. 1992. Generalized collinearity diagnostics. Journal of the American Statistical Association. 87(417):178–183. doi:</w:t>
      </w:r>
      <w:hyperlink r:id="rId65">
        <w:r>
          <w:rPr>
            <w:rStyle w:val="Hyperlink"/>
          </w:rPr>
          <w:t xml:space="preserve">10.1080/01621459.1992.10475190</w:t>
        </w:r>
      </w:hyperlink>
      <w:r>
        <w:t xml:space="preserve">.</w:t>
      </w:r>
    </w:p>
    <w:bookmarkEnd w:id="66"/>
    <w:bookmarkStart w:id="68" w:name="ref-lumleyAnalysisComplexSurvey2004"/>
    <w:p>
      <w:pPr>
        <w:pStyle w:val="Bibliography"/>
      </w:pPr>
      <w:r>
        <w:t xml:space="preserve">Lumley T. 2004. Analysis of complex survey samples. Journal of Statistical Software. 9(8). doi:</w:t>
      </w:r>
      <w:hyperlink r:id="rId67">
        <w:r>
          <w:rPr>
            <w:rStyle w:val="Hyperlink"/>
          </w:rPr>
          <w:t xml:space="preserve">10.18637/jss.v009.i08</w:t>
        </w:r>
      </w:hyperlink>
      <w:r>
        <w:t xml:space="preserve">.</w:t>
      </w:r>
    </w:p>
    <w:bookmarkEnd w:id="68"/>
    <w:bookmarkStart w:id="70" w:name="ref-lumleySvyVGAM2023"/>
    <w:p>
      <w:pPr>
        <w:pStyle w:val="Bibliography"/>
      </w:pPr>
      <w:r>
        <w:t xml:space="preserve">Lumley T. 2023.</w:t>
      </w:r>
      <w:r>
        <w:t xml:space="preserve"> </w:t>
      </w:r>
      <w:r>
        <w:t xml:space="preserve">svyVGAM</w:t>
      </w:r>
      <w:r>
        <w:t xml:space="preserve">:</w:t>
      </w:r>
      <w:r>
        <w:t xml:space="preserve"> </w:t>
      </w:r>
      <w:r>
        <w:t xml:space="preserve">Design-Based Inference</w:t>
      </w:r>
      <w:r>
        <w:t xml:space="preserve"> </w:t>
      </w:r>
      <w:r>
        <w:t xml:space="preserve">in</w:t>
      </w:r>
      <w:r>
        <w:t xml:space="preserve"> </w:t>
      </w:r>
      <w:r>
        <w:t xml:space="preserve">Vector Generalised Linear Models</w:t>
      </w:r>
      <w:r>
        <w:t xml:space="preserve">.</w:t>
      </w:r>
      <w:r>
        <w:t xml:space="preserve"> </w:t>
      </w:r>
      <w:hyperlink r:id="rId69">
        <w:r>
          <w:rPr>
            <w:rStyle w:val="Hyperlink"/>
          </w:rPr>
          <w:t xml:space="preserve">https://cran.r-project.org/package=svyVGAM</w:t>
        </w:r>
      </w:hyperlink>
      <w:r>
        <w:t xml:space="preserve">.</w:t>
      </w:r>
    </w:p>
    <w:bookmarkEnd w:id="70"/>
    <w:bookmarkStart w:id="72" w:name="ref-mccullaghRegressionModelsOrdinal1980"/>
    <w:p>
      <w:pPr>
        <w:pStyle w:val="Bibliography"/>
      </w:pPr>
      <w:r>
        <w:t xml:space="preserve">McCullagh P. 1980. Regression models for ordinal data. Journal of the Royal Statistical Society Series B (Methodological). 42(2):109–142. doi:</w:t>
      </w:r>
      <w:hyperlink r:id="rId71">
        <w:r>
          <w:rPr>
            <w:rStyle w:val="Hyperlink"/>
          </w:rPr>
          <w:t xml:space="preserve">10.1111/j.2517-6161.1980.tb01109.x</w:t>
        </w:r>
      </w:hyperlink>
      <w:r>
        <w:t xml:space="preserve">.</w:t>
      </w:r>
    </w:p>
    <w:bookmarkEnd w:id="72"/>
    <w:bookmarkStart w:id="74" w:name="ref-pasekAnesrakeANESRaking2018"/>
    <w:p>
      <w:pPr>
        <w:pStyle w:val="Bibliography"/>
      </w:pPr>
      <w:r>
        <w:t xml:space="preserve">Pasek J. 2018.</w:t>
      </w:r>
      <w:r>
        <w:t xml:space="preserve"> </w:t>
      </w:r>
      <w:r>
        <w:t xml:space="preserve">anesrake</w:t>
      </w:r>
      <w:r>
        <w:t xml:space="preserve">:</w:t>
      </w:r>
      <w:r>
        <w:t xml:space="preserve"> </w:t>
      </w:r>
      <w:r>
        <w:t xml:space="preserve">ANES Raking Implementation</w:t>
      </w:r>
      <w:r>
        <w:t xml:space="preserve">.</w:t>
      </w:r>
      <w:r>
        <w:t xml:space="preserve"> </w:t>
      </w:r>
      <w:hyperlink r:id="rId73">
        <w:r>
          <w:rPr>
            <w:rStyle w:val="Hyperlink"/>
          </w:rPr>
          <w:t xml:space="preserve">https://CRAN.R-project.org/package=anesrake</w:t>
        </w:r>
      </w:hyperlink>
      <w:r>
        <w:t xml:space="preserve">.</w:t>
      </w:r>
    </w:p>
    <w:bookmarkEnd w:id="74"/>
    <w:bookmarkEnd w:id="75"/>
    <w:bookmarkEnd w:id="76"/>
    <w:sectPr w:rsidR="00122113" w:rsidSect="00C92115">
      <w:headerReference r:id="rId9" w:type="even"/>
      <w:headerReference r:id="rId11" w:type="default"/>
      <w:footerReference r:id="rId14" w:type="even"/>
      <w:footerReference r:id="rId13" w:type="default"/>
      <w:headerReference r:id="rId10" w:type="first"/>
      <w:footerReference r:id="rId12" w:type="first"/>
      <w:pgSz w:h="15840" w:w="12240"/>
      <w:pgMar w:bottom="720" w:footer="720" w:gutter="0" w:header="720" w:left="1440" w:right="1440" w:top="720"/>
      <w:lnNumType w:countBy="1" w:restart="continuous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DA33D" w14:textId="77777777" w:rsidR="00A40080" w:rsidRDefault="00A4008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4130545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C789F65" w14:textId="464E24D3" w:rsidR="00A40080" w:rsidRDefault="00A40080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7EF44EAD" w14:textId="77777777" w:rsidR="00A40080" w:rsidRDefault="00A4008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EDABA8" w14:textId="77777777" w:rsidR="00A40080" w:rsidRDefault="00A40080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C5FC36" w14:textId="77777777" w:rsidR="00A40080" w:rsidRDefault="00A4008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418E3E" w14:textId="77777777" w:rsidR="00A40080" w:rsidRDefault="00A4008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D6A654" w14:textId="77777777" w:rsidR="00A40080" w:rsidRDefault="00A40080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du wp14">
  <w:abstractNum w15:restartNumberingAfterBreak="0" w:abstractNumId="0">
    <w:nsid w:val="FFFFFF7C"/>
    <w:multiLevelType w:val="singleLevel"/>
    <w:tmpl w:val="FAFE9ABA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399C72BC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134E0EF6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503C8C3E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62D64704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C46E51F6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9B5E0786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151895C0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9D9284A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801418FA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302EAA86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1697265735" w:numId="1">
    <w:abstractNumId w:val="10"/>
  </w:num>
  <w:num w16cid:durableId="1621572318" w:numId="2">
    <w:abstractNumId w:val="0"/>
  </w:num>
  <w:num w16cid:durableId="1698038869" w:numId="3">
    <w:abstractNumId w:val="1"/>
  </w:num>
  <w:num w16cid:durableId="1816601568" w:numId="4">
    <w:abstractNumId w:val="2"/>
  </w:num>
  <w:num w16cid:durableId="1549143319" w:numId="5">
    <w:abstractNumId w:val="3"/>
  </w:num>
  <w:num w16cid:durableId="1923370611" w:numId="6">
    <w:abstractNumId w:val="8"/>
  </w:num>
  <w:num w16cid:durableId="1712731999" w:numId="7">
    <w:abstractNumId w:val="4"/>
  </w:num>
  <w:num w16cid:durableId="1199927662" w:numId="8">
    <w:abstractNumId w:val="5"/>
  </w:num>
  <w:num w16cid:durableId="368116615" w:numId="9">
    <w:abstractNumId w:val="6"/>
  </w:num>
  <w:num w16cid:durableId="1819230131" w:numId="10">
    <w:abstractNumId w:val="7"/>
  </w:num>
  <w:num w16cid:durableId="666782604" w:numId="11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CA66A9"/>
    <w:pPr>
      <w:spacing w:after="0" w:line="432" w:lineRule="auto"/>
    </w:pPr>
    <w:rPr>
      <w:rFonts w:ascii="Times New Roman" w:hAnsi="Times New Roman"/>
    </w:rPr>
  </w:style>
  <w:style w:styleId="Heading1" w:type="paragraph">
    <w:name w:val="heading 1"/>
    <w:basedOn w:val="Normal"/>
    <w:next w:val="BodyText"/>
    <w:uiPriority w:val="9"/>
    <w:qFormat/>
    <w:rsid w:val="00F46069"/>
    <w:pPr>
      <w:keepNext/>
      <w:keepLines/>
      <w:spacing w:before="480"/>
      <w:jc w:val="center"/>
      <w:outlineLvl w:val="0"/>
    </w:pPr>
    <w:rPr>
      <w:rFonts w:cstheme="majorBidi" w:eastAsiaTheme="majorEastAsia"/>
      <w:b/>
      <w:bCs/>
      <w:caps/>
      <w:color w:themeColor="text1" w:val="000000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F46069"/>
    <w:pPr>
      <w:keepNext/>
      <w:keepLines/>
      <w:spacing w:before="240"/>
      <w:outlineLvl w:val="1"/>
    </w:pPr>
    <w:rPr>
      <w:rFonts w:cstheme="majorBidi" w:eastAsiaTheme="majorEastAsia"/>
      <w:bCs/>
      <w:i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F46069"/>
    <w:pPr>
      <w:keepNext/>
      <w:keepLines/>
      <w:ind w:left="288"/>
      <w:outlineLvl w:val="2"/>
    </w:pPr>
    <w:rPr>
      <w:rFonts w:cstheme="majorBidi" w:eastAsiaTheme="majorEastAsia"/>
      <w:b/>
      <w:bCs/>
    </w:rPr>
  </w:style>
  <w:style w:styleId="Heading4" w:type="paragraph">
    <w:name w:val="heading 4"/>
    <w:basedOn w:val="Normal"/>
    <w:next w:val="BodyText"/>
    <w:uiPriority w:val="9"/>
    <w:unhideWhenUsed/>
    <w:qFormat/>
    <w:rsid w:val="00F46069"/>
    <w:pPr>
      <w:keepNext/>
      <w:keepLines/>
      <w:ind w:left="288"/>
      <w:outlineLvl w:val="3"/>
    </w:pPr>
    <w:rPr>
      <w:rFonts w:cstheme="majorBidi" w:eastAsiaTheme="majorEastAsia"/>
      <w:bCs/>
      <w:u w:val="single"/>
    </w:rPr>
  </w:style>
  <w:style w:styleId="Heading5" w:type="paragraph">
    <w:name w:val="heading 5"/>
    <w:basedOn w:val="Normal"/>
    <w:next w:val="BodyText"/>
    <w:uiPriority w:val="9"/>
    <w:unhideWhenUsed/>
    <w:qFormat/>
    <w:rsid w:val="00F46069"/>
    <w:pPr>
      <w:keepNext/>
      <w:keepLines/>
      <w:ind w:left="288"/>
      <w:outlineLvl w:val="4"/>
    </w:pPr>
    <w:rPr>
      <w:rFonts w:cstheme="majorBidi" w:eastAsiaTheme="majorEastAsia"/>
      <w:i/>
      <w:iCs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C92115"/>
    <w:pPr>
      <w:spacing w:after="180" w:before="180" w:line="480" w:lineRule="auto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rsid w:val="005B1F0C"/>
    <w:pPr>
      <w:spacing w:after="36" w:before="36" w:line="240" w:lineRule="auto"/>
    </w:pPr>
  </w:style>
  <w:style w:styleId="Title" w:type="paragraph">
    <w:name w:val="Title"/>
    <w:basedOn w:val="Normal"/>
    <w:next w:val="BodyText"/>
    <w:qFormat/>
    <w:rsid w:val="00CA66A9"/>
    <w:pPr>
      <w:keepNext/>
      <w:keepLines/>
      <w:jc w:val="center"/>
    </w:pPr>
    <w:rPr>
      <w:rFonts w:cstheme="majorBidi" w:eastAsiaTheme="majorEastAsia"/>
      <w:b/>
      <w:bCs/>
      <w:color w:themeColor="text1" w:val="000000"/>
      <w:szCs w:val="36"/>
    </w:rPr>
  </w:style>
  <w:style w:styleId="Subtitle" w:type="paragraph">
    <w:name w:val="Subtitle"/>
    <w:basedOn w:val="Title"/>
    <w:next w:val="BodyText"/>
    <w:qFormat/>
    <w:rsid w:val="00CA66A9"/>
    <w:rPr>
      <w:szCs w:val="30"/>
    </w:rPr>
  </w:style>
  <w:style w:customStyle="1" w:styleId="Author" w:type="paragraph">
    <w:name w:val="Author"/>
    <w:next w:val="BodyText"/>
    <w:qFormat/>
    <w:rsid w:val="00CA66A9"/>
    <w:pPr>
      <w:keepNext/>
      <w:keepLines/>
      <w:spacing w:after="0" w:line="432" w:lineRule="auto"/>
      <w:jc w:val="center"/>
    </w:pPr>
    <w:rPr>
      <w:rFonts w:ascii="Times New Roman" w:hAnsi="Times New Roman"/>
    </w:rPr>
  </w:style>
  <w:style w:styleId="Date" w:type="paragraph">
    <w:name w:val="Date"/>
    <w:next w:val="BodyText"/>
    <w:qFormat/>
    <w:rsid w:val="00CA66A9"/>
    <w:pPr>
      <w:keepNext/>
      <w:keepLines/>
      <w:spacing w:after="0" w:line="432" w:lineRule="auto"/>
      <w:jc w:val="center"/>
    </w:pPr>
    <w:rPr>
      <w:rFonts w:ascii="Times New Roman" w:hAnsi="Times New Roman"/>
    </w:rPr>
  </w:style>
  <w:style w:customStyle="1" w:styleId="Abstract" w:type="paragraph">
    <w:name w:val="Abstract"/>
    <w:basedOn w:val="Normal"/>
    <w:next w:val="BodyText"/>
    <w:qFormat/>
    <w:rsid w:val="00CA66A9"/>
    <w:pPr>
      <w:keepNext/>
      <w:keepLines/>
      <w:spacing w:after="300" w:before="300"/>
      <w:ind w:left="720" w:right="720"/>
    </w:pPr>
    <w:rPr>
      <w:sz w:val="20"/>
      <w:szCs w:val="20"/>
    </w:rPr>
  </w:style>
  <w:style w:styleId="Bibliography" w:type="paragraph">
    <w:name w:val="Bibliography"/>
    <w:basedOn w:val="Normal"/>
    <w:qFormat/>
    <w:rsid w:val="004B30E0"/>
    <w:pPr>
      <w:ind w:hanging="720" w:left="72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rsid w:val="00B13621"/>
    <w:rPr>
      <w:rFonts w:ascii="Times New Roman" w:hAnsi="Times New Roman"/>
      <w:sz w:val="20"/>
      <w:szCs w:val="20"/>
    </w:rPr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D84D14"/>
    <w:pPr>
      <w:keepNext/>
      <w:spacing w:line="240" w:lineRule="auto"/>
    </w:pPr>
    <w:rPr>
      <w:i w:val="0"/>
    </w:rPr>
  </w:style>
  <w:style w:customStyle="1" w:styleId="ImageCaption" w:type="paragraph">
    <w:name w:val="Image Caption"/>
    <w:basedOn w:val="Caption"/>
    <w:rsid w:val="00D84D14"/>
    <w:pPr>
      <w:spacing w:line="240" w:lineRule="auto"/>
    </w:pPr>
    <w:rPr>
      <w:i w:val="0"/>
    </w:r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sid w:val="004B30E0"/>
    <w:rPr>
      <w:color w:val="auto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customStyle="1" w:styleId="BodyTextChar" w:type="character">
    <w:name w:val="Body Text Char"/>
    <w:basedOn w:val="DefaultParagraphFont"/>
    <w:link w:val="BodyText"/>
    <w:rsid w:val="00C92115"/>
    <w:rPr>
      <w:rFonts w:ascii="Times New Roman" w:hAnsi="Times New Roman"/>
    </w:rPr>
  </w:style>
  <w:style w:customStyle="1" w:styleId="SourceCode" w:type="paragraph">
    <w:name w:val="Source Code"/>
    <w:basedOn w:val="Normal"/>
    <w:link w:val="VerbatimChar"/>
    <w:rsid w:val="00122113"/>
    <w:pPr>
      <w:widowControl w:val="0"/>
      <w:shd w:color="auto" w:fill="F8F8F8" w:val="clear"/>
      <w:wordWrap w:val="0"/>
      <w:spacing w:after="480" w:before="240" w:line="240" w:lineRule="auto"/>
      <w:contextualSpacing/>
    </w:pPr>
    <w:rPr>
      <w:rFonts w:ascii="Consolas" w:hAnsi="Consolas"/>
      <w:sz w:val="22"/>
    </w:rPr>
  </w:style>
  <w:style w:customStyle="1" w:styleId="FunctionTok" w:type="character">
    <w:name w:val="FunctionTok"/>
    <w:basedOn w:val="VerbatimChar"/>
    <w:rsid w:val="00122113"/>
    <w:rPr>
      <w:rFonts w:ascii="Consolas" w:hAnsi="Consolas"/>
      <w:i/>
      <w:color w:val="000000"/>
      <w:sz w:val="22"/>
      <w:shd w:color="auto" w:fill="F8F8F8" w:val="clear"/>
    </w:rPr>
  </w:style>
  <w:style w:customStyle="1" w:styleId="NormalTok" w:type="character">
    <w:name w:val="NormalTok"/>
    <w:basedOn w:val="VerbatimChar"/>
    <w:rsid w:val="00122113"/>
    <w:rPr>
      <w:rFonts w:ascii="Consolas" w:hAnsi="Consolas"/>
      <w:i/>
      <w:sz w:val="22"/>
      <w:shd w:color="auto" w:fill="F8F8F8" w:val="clear"/>
    </w:rPr>
  </w:style>
  <w:style w:styleId="LineNumber" w:type="character">
    <w:name w:val="line number"/>
    <w:basedOn w:val="DefaultParagraphFont"/>
    <w:semiHidden/>
    <w:unhideWhenUsed/>
    <w:rsid w:val="00243825"/>
  </w:style>
  <w:style w:customStyle="1" w:styleId="TableNormal0" w:type="paragraph">
    <w:name w:val="TableNormal"/>
    <w:basedOn w:val="Compact"/>
    <w:qFormat/>
    <w:rsid w:val="008E2C6B"/>
  </w:style>
  <w:style w:styleId="Header" w:type="paragraph">
    <w:name w:val="header"/>
    <w:basedOn w:val="Normal"/>
    <w:link w:val="HeaderChar"/>
    <w:unhideWhenUsed/>
    <w:rsid w:val="00A40080"/>
    <w:pPr>
      <w:tabs>
        <w:tab w:pos="4680" w:val="center"/>
        <w:tab w:pos="9360" w:val="right"/>
      </w:tabs>
      <w:spacing w:line="240" w:lineRule="auto"/>
    </w:pPr>
  </w:style>
  <w:style w:customStyle="1" w:styleId="HeaderChar" w:type="character">
    <w:name w:val="Header Char"/>
    <w:basedOn w:val="DefaultParagraphFont"/>
    <w:link w:val="Header"/>
    <w:rsid w:val="00A40080"/>
    <w:rPr>
      <w:rFonts w:ascii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A40080"/>
    <w:pPr>
      <w:tabs>
        <w:tab w:pos="4680" w:val="center"/>
        <w:tab w:pos="9360" w:val="right"/>
      </w:tabs>
      <w:spacing w:line="240" w:lineRule="auto"/>
    </w:pPr>
  </w:style>
  <w:style w:customStyle="1" w:styleId="FooterChar" w:type="character">
    <w:name w:val="Footer Char"/>
    <w:basedOn w:val="DefaultParagraphFont"/>
    <w:link w:val="Footer"/>
    <w:uiPriority w:val="99"/>
    <w:rsid w:val="00A40080"/>
    <w:rPr>
      <w:rFonts w:ascii="Times New Roman" w:hAnsi="Times New Roman"/>
    </w:r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header3.xml" Type="http://schemas.openxmlformats.org/officeDocument/2006/relationships/header" /><Relationship Id="rId11" Target="header2.xml" Type="http://schemas.openxmlformats.org/officeDocument/2006/relationships/header" /><Relationship Id="rId12" Target="footer3.xml" Type="http://schemas.openxmlformats.org/officeDocument/2006/relationships/footer" /><Relationship Id="rId13" Target="footer2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50" Target="media/rId50.png" /><Relationship Type="http://schemas.openxmlformats.org/officeDocument/2006/relationships/image" Id="rId32" Target="media/rId32.png" /><Relationship Type="http://schemas.openxmlformats.org/officeDocument/2006/relationships/image" Id="rId28" Target="media/rId28.png" /><Relationship Type="http://schemas.openxmlformats.org/officeDocument/2006/relationships/image" Id="rId37" Target="media/rId37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hyperlink" Id="rId62" Target="http://www.electionstudies.org/resources/papers/nes012427.pdf" TargetMode="External" /><Relationship Type="http://schemas.openxmlformats.org/officeDocument/2006/relationships/hyperlink" Id="rId73" Target="https://CRAN.R-project.org/package=anesrake" TargetMode="External" /><Relationship Type="http://schemas.openxmlformats.org/officeDocument/2006/relationships/hyperlink" Id="rId69" Target="https://cran.r-project.org/package=svyVGAM" TargetMode="External" /><Relationship Type="http://schemas.openxmlformats.org/officeDocument/2006/relationships/hyperlink" Id="rId65" Target="https://doi.org/10.1080/01621459.1992.10475190" TargetMode="External" /><Relationship Type="http://schemas.openxmlformats.org/officeDocument/2006/relationships/hyperlink" Id="rId71" Target="https://doi.org/10.1111/j.2517-6161.1980.tb01109.x" TargetMode="External" /><Relationship Type="http://schemas.openxmlformats.org/officeDocument/2006/relationships/hyperlink" Id="rId67" Target="https://doi.org/10.18637/jss.v009.i08" TargetMode="External" /><Relationship Type="http://schemas.openxmlformats.org/officeDocument/2006/relationships/hyperlink" Id="rId20" Target="mailto:michael.schramm@ag.tamu.ed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2" Target="http://www.electionstudies.org/resources/papers/nes012427.pdf" TargetMode="External" /><Relationship Type="http://schemas.openxmlformats.org/officeDocument/2006/relationships/hyperlink" Id="rId73" Target="https://CRAN.R-project.org/package=anesrake" TargetMode="External" /><Relationship Type="http://schemas.openxmlformats.org/officeDocument/2006/relationships/hyperlink" Id="rId69" Target="https://cran.r-project.org/package=svyVGAM" TargetMode="External" /><Relationship Type="http://schemas.openxmlformats.org/officeDocument/2006/relationships/hyperlink" Id="rId65" Target="https://doi.org/10.1080/01621459.1992.10475190" TargetMode="External" /><Relationship Type="http://schemas.openxmlformats.org/officeDocument/2006/relationships/hyperlink" Id="rId71" Target="https://doi.org/10.1111/j.2517-6161.1980.tb01109.x" TargetMode="External" /><Relationship Type="http://schemas.openxmlformats.org/officeDocument/2006/relationships/hyperlink" Id="rId67" Target="https://doi.org/10.18637/jss.v009.i08" TargetMode="External" /><Relationship Type="http://schemas.openxmlformats.org/officeDocument/2006/relationships/hyperlink" Id="rId20" Target="mailto:michael.schramm@ag.tamu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Perceptions of drinking water management and safety: A public survey of U.S. residents</dc:title>
  <dc:creator>T. Allen Berthold, Audrey McCrary, Stephanie deVilleneuve, and Michael Schramm</dc:creator>
  <cp:keywords/>
  <dcterms:created xsi:type="dcterms:W3CDTF">2024-06-05T20:52:22Z</dcterms:created>
  <dcterms:modified xsi:type="dcterms:W3CDTF">2024-06-05T20:52:22Z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refs.bib</vt:lpwstr>
  </property>
  <property fmtid="{D5CDD505-2E9C-101B-9397-08002B2CF9AE}" pid="3" name="bookdown">
    <vt:lpwstr/>
  </property>
  <property fmtid="{D5CDD505-2E9C-101B-9397-08002B2CF9AE}" pid="4" name="csl">
    <vt:lpwstr>https://www.zotero.org/styles/council-of-science-editors-author-date?source=1</vt:lpwstr>
  </property>
</Properties>
</file>