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6.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media/rId20.png" ContentType="image/png"/>
  <Override PartName="/word/media/image1.png" ContentType="image/png"/>
  <Override PartName="/word/media/image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Texas</w:t>
      </w:r>
      <w:r>
        <w:t xml:space="preserve"> </w:t>
      </w:r>
      <w:r>
        <w:t xml:space="preserve">Coastal</w:t>
      </w:r>
      <w:r>
        <w:t xml:space="preserve"> </w:t>
      </w:r>
      <w:r>
        <w:t xml:space="preserve">Nutrient</w:t>
      </w:r>
      <w:r>
        <w:t xml:space="preserve"> </w:t>
      </w:r>
      <w:r>
        <w:t xml:space="preserve">Input</w:t>
      </w:r>
      <w:r>
        <w:t xml:space="preserve"> </w:t>
      </w:r>
      <w:r>
        <w:t xml:space="preserve">Repository</w:t>
      </w:r>
      <w:r>
        <w:t xml:space="preserve"> </w:t>
      </w:r>
      <w:r>
        <w:t xml:space="preserve">-</w:t>
      </w:r>
      <w:r>
        <w:t xml:space="preserve"> </w:t>
      </w:r>
      <w:r>
        <w:t xml:space="preserve">Task</w:t>
      </w:r>
      <w:r>
        <w:t xml:space="preserve"> </w:t>
      </w:r>
      <w:r>
        <w:t xml:space="preserve">3</w:t>
      </w:r>
      <w:r>
        <w:t xml:space="preserve"> </w:t>
      </w:r>
      <w:r>
        <w:t xml:space="preserve">Report</w:t>
      </w:r>
    </w:p>
    <w:p>
      <w:pPr>
        <w:pStyle w:val="Author"/>
      </w:pPr>
      <w:r>
        <w:t xml:space="preserve">Michael</w:t>
      </w:r>
      <w:r>
        <w:t xml:space="preserve"> </w:t>
      </w:r>
      <w:r>
        <w:t xml:space="preserve">Schramm</w:t>
      </w:r>
      <w:r>
        <w:t xml:space="preserve"> </w:t>
      </w:r>
      <w:r>
        <w:rPr>
          <w:vertAlign w:val="superscript"/>
        </w:rPr>
        <w:t xml:space="preserve">1</w:t>
      </w:r>
    </w:p>
    <w:p>
      <w:pPr>
        <w:pStyle w:val="Author"/>
      </w:pPr>
      <w:r>
        <w:rPr>
          <w:vertAlign w:val="superscript"/>
        </w:rPr>
        <w:t xml:space="preserve">1</w:t>
      </w:r>
      <w:r>
        <w:t xml:space="preserve"> </w:t>
      </w:r>
      <w:r>
        <w:t xml:space="preserve">Research</w:t>
      </w:r>
      <w:r>
        <w:t xml:space="preserve"> </w:t>
      </w:r>
      <w:r>
        <w:t xml:space="preserve">Specialist,</w:t>
      </w:r>
      <w:r>
        <w:t xml:space="preserve"> </w:t>
      </w:r>
      <w:r>
        <w:t xml:space="preserve">Texas</w:t>
      </w:r>
      <w:r>
        <w:t xml:space="preserve"> </w:t>
      </w:r>
      <w:r>
        <w:t xml:space="preserve">Water</w:t>
      </w:r>
      <w:r>
        <w:t xml:space="preserve"> </w:t>
      </w:r>
      <w:r>
        <w:t xml:space="preserve">Resources</w:t>
      </w:r>
      <w:r>
        <w:t xml:space="preserve"> </w:t>
      </w:r>
      <w:r>
        <w:t xml:space="preserve">Institute,</w:t>
      </w:r>
      <w:r>
        <w:t xml:space="preserve"> </w:t>
      </w:r>
      <w:r>
        <w:t xml:space="preserve">Texas</w:t>
      </w:r>
      <w:r>
        <w:t xml:space="preserve"> </w:t>
      </w:r>
      <w:r>
        <w:t xml:space="preserve">A&amp;M</w:t>
      </w:r>
      <w:r>
        <w:t xml:space="preserve"> </w:t>
      </w:r>
      <w:r>
        <w:t xml:space="preserve">AgriLife</w:t>
      </w:r>
      <w:r>
        <w:t xml:space="preserve"> </w:t>
      </w:r>
      <w:r>
        <w:t xml:space="preserve">Research</w:t>
      </w:r>
    </w:p>
    <w:p>
      <w:pPr>
        <w:pStyle w:val="Date"/>
      </w:pPr>
      <w:r>
        <w:t xml:space="preserve">December</w:t>
      </w:r>
      <w:r>
        <w:t xml:space="preserve"> </w:t>
      </w:r>
      <w:r>
        <w:t xml:space="preserve">1,</w:t>
      </w:r>
      <w:r>
        <w:t xml:space="preserve"> </w:t>
      </w:r>
      <w:r>
        <w:t xml:space="preserve">2021</w:t>
      </w:r>
    </w:p>
    <w:p>
      <w:pPr>
        <w:pStyle w:val="FirstParagraph"/>
      </w:pPr>
      <w:r>
        <w:t xml:space="preserve">Texas Water Resources Institute</w:t>
      </w:r>
    </w:p>
    <w:p>
      <w:pPr>
        <w:pStyle w:val="BodyText"/>
      </w:pPr>
      <w:r>
        <w:t xml:space="preserve">Texas A&amp;M Agrilife</w:t>
      </w:r>
    </w:p>
    <w:p>
      <w:pPr>
        <w:pStyle w:val="BodyText"/>
      </w:pPr>
      <w:r>
        <w:t xml:space="preserve">College Station, TX</w:t>
      </w:r>
    </w:p>
    <w:p>
      <w:pPr>
        <w:pStyle w:val="BodyText"/>
      </w:pPr>
      <w:r>
        <w:drawing>
          <wp:inline>
            <wp:extent cx="5943600" cy="716342"/>
            <wp:effectExtent b="0" l="0" r="0" t="0"/>
            <wp:docPr descr="" title="" id="1" name="Picture"/>
            <a:graphic>
              <a:graphicData uri="http://schemas.openxmlformats.org/drawingml/2006/picture">
                <pic:pic>
                  <pic:nvPicPr>
                    <pic:cNvPr descr="combined-logo.png" id="2" name="Picture"/>
                    <pic:cNvPicPr>
                      <a:picLocks noChangeArrowheads="1" noChangeAspect="1"/>
                    </pic:cNvPicPr>
                  </pic:nvPicPr>
                  <pic:blipFill>
                    <a:blip r:embed="rId20"/>
                    <a:stretch>
                      <a:fillRect/>
                    </a:stretch>
                  </pic:blipFill>
                  <pic:spPr bwMode="auto">
                    <a:xfrm>
                      <a:off x="0" y="0"/>
                      <a:ext cx="5943600" cy="716342"/>
                    </a:xfrm>
                    <a:prstGeom prst="rect">
                      <a:avLst/>
                    </a:prstGeom>
                    <a:noFill/>
                    <a:ln w="9525">
                      <a:noFill/>
                      <a:headEnd/>
                      <a:tailEnd/>
                    </a:ln>
                  </pic:spPr>
                </pic:pic>
              </a:graphicData>
            </a:graphic>
          </wp:inline>
        </w:drawing>
      </w:r>
    </w:p>
    <w:p>
      <w:pPr>
        <w:pStyle w:val="BodyText"/>
      </w:pPr>
      <w:r>
        <w:rPr>
          <w:rFonts w:ascii="Arial" w:hAnsi="Arial" w:eastAsia="Arial" w:cs="Arial"/>
          <w:i w:val="false"/>
          <w:b w:val="false"/>
          <w:u w:val="none"/>
          <w:sz w:val="16"/>
          <w:szCs w:val="16"/>
          <w:color w:val="000000"/>
        </w:rPr>
        <w:t xml:space="preserve">This project was funded by a Texas Coastal Management Program grant approved by the Texas Land Commissioner, providing financial assistance under the Coastal Zone Management Act of 1972, as amended, awarded by the National Oceanic and Atmospheric Administration (NOAA), Oﬀice for Coastal Management, pursuant to NOAA Award No. NA21NOS4190136. The views expressed herein are those of the author(s) and do not necessarily reflect the views of NOAA, the U.S. Department of Commerce, or any of their subagencies.</w:t>
      </w:r>
    </w:p>
    <w:p>
      <w:pPr>
        <w:sectPr>
          <w:type w:val="nextPage"/>
          <w:footerReference r:id="rId9" w:type="default"/>
          <w:cols/>
          <w:pgSz w:h="16848" w:w="11952" w:orient="portrait"/>
          <w:pgMar w:header="720" w:bottom="1800" w:top="1800" w:right="720" w:left="720" w:footer="720" w:gutter="720"/>
        </w:sectPr>
      </w:pPr>
    </w:p>
    <w:p>
      <w:pPr>
        <w:pStyle w:val="UnnumberedHeading1"/>
      </w:pPr>
      <w:r>
        <w:t xml:space="preserve">Table of Contents</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pPr>
        <w:pStyle w:val="UnnumberedHeading1"/>
      </w:pPr>
      <w:r>
        <w:t xml:space="preserve">Table of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p>
      <w:pPr>
        <w:pStyle w:val="UnnumberedHeading1"/>
      </w:pPr>
      <w:r>
        <w:t xml:space="preserve">Table of Tables</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pPr>
        <w:pStyle w:val="UnnumberedHeading1"/>
      </w:pPr>
      <w:r>
        <w:t xml:space="preserve">Abbreviations</w:t>
      </w:r>
    </w:p>
    <w:p>
      <w:pPr>
        <w:sectPr>
          <w:type w:val="nextPage"/>
          <w:footerReference r:id="rId9" w:type="default"/>
          <w:cols/>
          <w:pgSz w:h="16848" w:w="11952" w:orient="portrait"/>
          <w:pgMar w:header="720" w:bottom="1800" w:top="1800" w:right="720" w:left="720" w:footer="720" w:gutter="720"/>
        </w:sectPr>
      </w:pPr>
    </w:p>
    <w:bookmarkStart w:id="23" w:name="introduction"/>
    <w:p>
      <w:pPr>
        <w:pStyle w:val="Heading1"/>
      </w:pPr>
      <w:r>
        <w:t xml:space="preserve">Introduction</w:t>
      </w:r>
    </w:p>
    <w:p>
      <w:pPr>
        <w:pStyle w:val="FirstParagraph"/>
      </w:pPr>
      <w:r>
        <w:t xml:space="preserve">A substantial proportion of coastal estuaries in the United States face excessive nutrient loading and exhibit symptoms of eutrophication</w:t>
      </w:r>
      <w:r>
        <w:t xml:space="preserve"> </w:t>
      </w:r>
      <w:r>
        <w:t xml:space="preserve">(Bricker et al. 2008)</w:t>
      </w:r>
      <w:r>
        <w:t xml:space="preserve">.</w:t>
      </w:r>
      <w:r>
        <w:t xml:space="preserve"> </w:t>
      </w:r>
      <w:r>
        <w:t xml:space="preserve">Eutrophication leads to depletion of dissolved oxygen, degradation of habitat</w:t>
      </w:r>
      <w:r>
        <w:t xml:space="preserve"> </w:t>
      </w:r>
      <w:r>
        <w:t xml:space="preserve">(Darby and Turner 2008)</w:t>
      </w:r>
      <w:r>
        <w:t xml:space="preserve"> </w:t>
      </w:r>
      <w:r>
        <w:t xml:space="preserve">and increased risks of harmful algal blooms</w:t>
      </w:r>
      <w:r>
        <w:t xml:space="preserve"> </w:t>
      </w:r>
      <w:r>
        <w:t xml:space="preserve">(Heisler et al. 2008)</w:t>
      </w:r>
      <w:r>
        <w:t xml:space="preserve">.</w:t>
      </w:r>
    </w:p>
    <w:p>
      <w:pPr>
        <w:pStyle w:val="BodyText"/>
      </w:pPr>
      <w:r>
        <w:t xml:space="preserve">There have been limited attempts at assessments of estuarine eutrophication along the Texas coastline.</w:t>
      </w:r>
      <w:r>
        <w:t xml:space="preserve"> </w:t>
      </w:r>
      <w:r>
        <w:t xml:space="preserve">Notably,</w:t>
      </w:r>
      <w:r>
        <w:t xml:space="preserve"> </w:t>
      </w:r>
      <w:r>
        <w:t xml:space="preserve">Bugica et al. (2020)</w:t>
      </w:r>
      <w:r>
        <w:t xml:space="preserve"> </w:t>
      </w:r>
      <w:r>
        <w:t xml:space="preserve">provided evidence of regional eutrophication hot spots attributed to increases in coastal population, urbanization, and alterations of freshwater inflows along the Texas coast and is an important starting point for targeted regional studies.</w:t>
      </w:r>
      <w:r>
        <w:t xml:space="preserve"> </w:t>
      </w:r>
      <w:r>
        <w:t xml:space="preserve">Bugica et al. (2020)</w:t>
      </w:r>
      <w:r>
        <w:t xml:space="preserve"> </w:t>
      </w:r>
      <w:r>
        <w:t xml:space="preserve">assessed three sites in the Lavaca Bay and identified small but significant increases in Total Phosphorus (TP) and Orthophosphate (PO</w:t>
      </w:r>
      <w:r>
        <w:rPr>
          <w:vertAlign w:val="subscript"/>
        </w:rPr>
        <w:t xml:space="preserve">4</w:t>
      </w:r>
      <w:r>
        <w:rPr>
          <w:vertAlign w:val="superscript"/>
        </w:rPr>
        <w:t xml:space="preserve">-3</w:t>
      </w:r>
      <w:r>
        <w:t xml:space="preserve">) at two sites, Total Kjeldahl Nitrogen (TKN) at two sites, and chlorophyll-</w:t>
      </w:r>
      <w:r>
        <w:rPr>
          <w:iCs/>
          <w:i/>
        </w:rPr>
        <w:t xml:space="preserve">a</w:t>
      </w:r>
      <w:r>
        <w:t xml:space="preserve"> </w:t>
      </w:r>
      <w:r>
        <w:t xml:space="preserve">at one site.</w:t>
      </w:r>
      <w:r>
        <w:t xml:space="preserve"> </w:t>
      </w:r>
      <w:r>
        <w:t xml:space="preserve">Importantly, decreases in dissolved oxygen were not detected in the study.</w:t>
      </w:r>
      <w:r>
        <w:t xml:space="preserve"> </w:t>
      </w:r>
      <w:r>
        <w:t xml:space="preserve">While there are indications that potential drivers of eutrophication are increasing in Lavaca Bay, the immediate symptoms of degraded dissolved oxygen are not evident.</w:t>
      </w:r>
      <w:r>
        <w:t xml:space="preserve"> </w:t>
      </w:r>
      <w:r>
        <w:t xml:space="preserve">Significant decreases in pH at all sites assessed by</w:t>
      </w:r>
      <w:r>
        <w:t xml:space="preserve"> </w:t>
      </w:r>
      <w:r>
        <w:t xml:space="preserve">Bugica et al. (2020)</w:t>
      </w:r>
      <w:r>
        <w:t xml:space="preserve"> </w:t>
      </w:r>
      <w:r>
        <w:t xml:space="preserve">in Lavaca Bay also point to long-term decreases in freshwater inflow and a resulting increase in salinity.</w:t>
      </w:r>
      <w:r>
        <w:t xml:space="preserve"> </w:t>
      </w:r>
      <w:r>
        <w:t xml:space="preserve">Long-term declines in the abundance of sensitive benthic fauna in Lavaca Bay have been linked to increases in salinity and reductions in freshwater inflows</w:t>
      </w:r>
      <w:r>
        <w:t xml:space="preserve"> </w:t>
      </w:r>
      <w:r>
        <w:t xml:space="preserve">(Beseres Pollack et al. 2011; Palmer and Montagna 2015; Montagna et al. 2020)</w:t>
      </w:r>
      <w:r>
        <w:t xml:space="preserve">.</w:t>
      </w:r>
    </w:p>
    <w:p>
      <w:pPr>
        <w:pStyle w:val="BodyText"/>
      </w:pPr>
      <w:r>
        <w:t xml:space="preserve">The potential for negative impacts induced by eutrophication is a especially concerning given the significant declines already observed in benthic fauna abundance, biomass, and diversity within Lavaca Bay</w:t>
      </w:r>
      <w:r>
        <w:t xml:space="preserve"> </w:t>
      </w:r>
      <w:r>
        <w:t xml:space="preserve">(Beseres Pollack et al. 2011)</w:t>
      </w:r>
      <w:r>
        <w:t xml:space="preserve">.</w:t>
      </w:r>
      <w:r>
        <w:t xml:space="preserve"> </w:t>
      </w:r>
      <w:r>
        <w:t xml:space="preserve">Underscoring this concern is the need for data that is adequate for evaluating changes over time in watershed nutrient loading.</w:t>
      </w:r>
      <w:r>
        <w:t xml:space="preserve"> </w:t>
      </w:r>
      <w:r>
        <w:t xml:space="preserve">There is also a need to understand the effects of land management decisions on nutrient loading, relative to environmental drivers such as precipitation and discharge, and how it may contribute to or improve conditions related to eutrophication in Lavaca Bay.</w:t>
      </w:r>
      <w:r>
        <w:t xml:space="preserve"> </w:t>
      </w:r>
      <w:r>
        <w:t xml:space="preserve">This work (1) quantifies Nitrate-Nitrogen (NO</w:t>
      </w:r>
      <w:r>
        <w:rPr>
          <w:vertAlign w:val="subscript"/>
        </w:rPr>
        <w:t xml:space="preserve">3</w:t>
      </w:r>
      <w:r>
        <w:t xml:space="preserve">-N) and TP loadings in the Lavaca Bay watershed and (2) assesses the relationship of eutrophication indicators in Lavaca Bay to changes in watershed discharge and loads.</w:t>
      </w:r>
    </w:p>
    <w:p>
      <w:pPr>
        <w:pStyle w:val="BodyText"/>
      </w:pPr>
      <w:r>
        <w:t xml:space="preserve">Regression based approaches are commonly used to estimate constituent concentration and fluxes based on continuously measured streamflow and sparsely measured constituent concentrations.</w:t>
      </w:r>
      <w:r>
        <w:br/>
      </w:r>
      <w:r>
        <w:t xml:space="preserve">Most regression-based approaches estimate daily concentration based on modeled relationships between concentration and discharge, season, and time</w:t>
      </w:r>
      <w:r>
        <w:t xml:space="preserve"> </w:t>
      </w:r>
      <w:r>
        <w:t xml:space="preserve">(Cohn et al. 1992; Hirsch et al. 2010)</w:t>
      </w:r>
      <w:r>
        <w:t xml:space="preserve">.</w:t>
      </w:r>
    </w:p>
    <w:bookmarkEnd w:id="23"/>
    <w:bookmarkStart w:id="26" w:name="headings"/>
    <w:p>
      <w:pPr>
        <w:pStyle w:val="Heading1"/>
      </w:pPr>
      <w:r>
        <w:t xml:space="preserve">Headings</w:t>
      </w:r>
    </w:p>
    <w:bookmarkStart w:id="25" w:name="second-level-heading"/>
    <w:p>
      <w:pPr>
        <w:pStyle w:val="Heading2"/>
      </w:pPr>
      <w:r>
        <w:t xml:space="preserve">Second Level Heading</w:t>
      </w:r>
    </w:p>
    <w:bookmarkStart w:id="24" w:name="third-level-heading"/>
    <w:p>
      <w:pPr>
        <w:pStyle w:val="Heading3"/>
      </w:pPr>
      <w:r>
        <w:t xml:space="preserve">Third Level Heading</w:t>
      </w:r>
    </w:p>
    <w:p>
      <w:pPr>
        <w:pStyle w:val="FirstParagraph"/>
      </w:pPr>
      <w:r>
        <w:t xml:space="preserve">First, second, and third level headings are defined by</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w:t>
      </w:r>
      <w:r>
        <w:t xml:space="preserve">respectively.</w:t>
      </w:r>
    </w:p>
    <w:bookmarkEnd w:id="24"/>
    <w:bookmarkEnd w:id="25"/>
    <w:bookmarkEnd w:id="26"/>
    <w:bookmarkStart w:id="28" w:name="tables"/>
    <w:p>
      <w:pPr>
        <w:pStyle w:val="Heading1"/>
      </w:pPr>
      <w:r>
        <w:t xml:space="preserve">Tables</w:t>
      </w:r>
    </w:p>
    <w:p>
      <w:pPr>
        <w:pStyle w:val="FirstParagraph"/>
      </w:pPr>
      <w:r>
        <w:t xml:space="preserve">This is an example of an unformatted table and how we cross-reference that table (</w:t>
      </w:r>
      <w:hyperlink w:anchor="tab:mtcars">
        <w:r>
          <w:rPr>
            <w:rStyle w:val="Hyperlink"/>
          </w:rPr>
          <w:t xml:space="preserve">Table</w:t>
        </w:r>
        <w:r>
          <w:rPr>
            <w:rStyle w:val="Hyperlink"/>
          </w:rPr>
          <w:t xml:space="preserve"> </w:t>
        </w:r>
        <w:hyperlink w:anchor="mtcars">
          <w:r xmlns:w14="http://schemas.microsoft.com/office/word/2010/wordml">
            <w:rPr/>
            <w:fldChar w:fldCharType="begin" w:dirty="true"/>
          </w:r>
          <w:r xmlns:w14="http://schemas.microsoft.com/office/word/2010/wordml">
            <w:rPr/>
            <w:instrText xml:space="preserve" w:dirty="true"> REF mtcars \h</w:instrText>
          </w:r>
          <w:r xmlns:w14="http://schemas.microsoft.com/office/word/2010/wordml">
            <w:rPr/>
            <w:fldChar w:fldCharType="end" w:dirty="true"/>
          </w:r>
        </w:hyperlink>
      </w:hyperlink>
      <w:r>
        <w:t xml:space="preserve">).</w:t>
      </w:r>
    </w:p>
    <w:p>
      <w:pPr>
        <w:pStyle w:val="TableCaption"/>
      </w:pPr>
      <w:r>
        <w:rPr>
          <w:rFonts/>
          <w:b w:val="false"/>
        </w:rPr>
        <w:t xml:space="preserve">Table </w:t>
      </w:r>
      <w:bookmarkStart w:id="080d03a6-5429-4ec7-aadb-2b7a04fb4c7d" w:name="mtcars"/>
      <w:r xmlns:w14="http://schemas.microsoft.com/office/word/2010/wordml">
        <w:rPr>
          <w:rFonts/>
          <w:b w:val="false"/>
        </w:rPr>
        <w:fldChar w:fldCharType="begin" w:dirty="true"/>
      </w:r>
      <w:r xmlns:w14="http://schemas.microsoft.com/office/word/2010/wordml">
        <w:rPr>
          <w:rFonts/>
          <w:b w:val="false"/>
        </w:rPr>
        <w:instrText xml:space="preserve" w:dirty="true">SEQ tab \* Arabic</w:instrText>
      </w:r>
      <w:r xmlns:w14="http://schemas.microsoft.com/office/word/2010/wordml">
        <w:rPr>
          <w:rFonts/>
          <w:b w:val="false"/>
        </w:rPr>
        <w:fldChar w:fldCharType="end" w:dirty="true"/>
      </w:r>
      <w:bookmarkEnd w:id="080d03a6-5429-4ec7-aadb-2b7a04fb4c7d"/>
      <w:r>
        <w:t xml:space="preserve">. </w:t>
      </w:r>
      <w:r>
        <w:t xml:space="preserve">this is the builtin mtcars data.</w:t>
      </w:r>
    </w:p>
    <w:tbl>
      <w:tblPr>
        <w:tblStyle w:val="Table"/>
        <w:tblLayout w:type="autofit"/>
        <w:jc w:val="center"/>
        <w:tblW w:type="pct" w:w="5000"/>
        <w:tblLook w:firstRow="1" w:lastRow="0" w:firstColumn="0" w:lastColumn="0" w:noHBand="0" w:noVBand="1"/>
      </w:tblPr>
      <w:tr>
        <w:trPr>
          <w:tblHeader/>
        </w:trPr>
        <w:tc>
          <w:p>
            <w:pPr>
              <w:pStyle w:val="Normal"/>
            </w:pPr>
            <w:r>
              <w:t>mpg</w:t>
            </w:r>
          </w:p>
        </w:tc>
        <w:tc>
          <w:p>
            <w:pPr>
              <w:pStyle w:val="Normal"/>
            </w:pPr>
            <w:r>
              <w:t>cyl</w:t>
            </w:r>
          </w:p>
        </w:tc>
        <w:tc>
          <w:p>
            <w:pPr>
              <w:pStyle w:val="Normal"/>
            </w:pPr>
            <w:r>
              <w:t>disp</w:t>
            </w:r>
          </w:p>
        </w:tc>
        <w:tc>
          <w:p>
            <w:pPr>
              <w:pStyle w:val="Normal"/>
            </w:pPr>
            <w:r>
              <w:t>hp</w:t>
            </w:r>
          </w:p>
        </w:tc>
        <w:tc>
          <w:p>
            <w:pPr>
              <w:pStyle w:val="Normal"/>
            </w:pPr>
            <w:r>
              <w:t>drat</w:t>
            </w:r>
          </w:p>
        </w:tc>
        <w:tc>
          <w:p>
            <w:pPr>
              <w:pStyle w:val="Normal"/>
            </w:pPr>
            <w:r>
              <w:t>wt</w:t>
            </w:r>
          </w:p>
        </w:tc>
        <w:tc>
          <w:p>
            <w:pPr>
              <w:pStyle w:val="Normal"/>
            </w:pPr>
            <w:r>
              <w:t>qsec</w:t>
            </w:r>
          </w:p>
        </w:tc>
        <w:tc>
          <w:p>
            <w:pPr>
              <w:pStyle w:val="Normal"/>
            </w:pPr>
            <w:r>
              <w:t>vs</w:t>
            </w:r>
          </w:p>
        </w:tc>
        <w:tc>
          <w:p>
            <w:pPr>
              <w:pStyle w:val="Normal"/>
            </w:pPr>
            <w:r>
              <w:t>am</w:t>
            </w:r>
          </w:p>
        </w:tc>
        <w:tc>
          <w:p>
            <w:pPr>
              <w:pStyle w:val="Normal"/>
            </w:pPr>
            <w:r>
              <w:t>gear</w:t>
            </w:r>
          </w:p>
        </w:tc>
        <w:tc>
          <w:p>
            <w:pPr>
              <w:pStyle w:val="Normal"/>
            </w:pPr>
            <w:r>
              <w:t>carb</w:t>
            </w:r>
          </w:p>
        </w:tc>
      </w:tr>
      <w:tr>
        <w:tc>
          <w:p>
            <w:pPr>
              <w:pStyle w:val="Normal"/>
            </w:pPr>
            <w:r>
              <w:t>21.0</w:t>
            </w:r>
          </w:p>
        </w:tc>
        <w:tc>
          <w:p>
            <w:pPr>
              <w:pStyle w:val="Normal"/>
            </w:pPr>
            <w:r>
              <w:t>6</w:t>
            </w:r>
          </w:p>
        </w:tc>
        <w:tc>
          <w:p>
            <w:pPr>
              <w:pStyle w:val="Normal"/>
            </w:pPr>
            <w:r>
              <w:t>160.0</w:t>
            </w:r>
          </w:p>
        </w:tc>
        <w:tc>
          <w:p>
            <w:pPr>
              <w:pStyle w:val="Normal"/>
            </w:pPr>
            <w:r>
              <w:t>110</w:t>
            </w:r>
          </w:p>
        </w:tc>
        <w:tc>
          <w:p>
            <w:pPr>
              <w:pStyle w:val="Normal"/>
            </w:pPr>
            <w:r>
              <w:t>3.90</w:t>
            </w:r>
          </w:p>
        </w:tc>
        <w:tc>
          <w:p>
            <w:pPr>
              <w:pStyle w:val="Normal"/>
            </w:pPr>
            <w:r>
              <w:t>2.620</w:t>
            </w:r>
          </w:p>
        </w:tc>
        <w:tc>
          <w:p>
            <w:pPr>
              <w:pStyle w:val="Normal"/>
            </w:pPr>
            <w:r>
              <w:t>16.46</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21.0</w:t>
            </w:r>
          </w:p>
        </w:tc>
        <w:tc>
          <w:p>
            <w:pPr>
              <w:pStyle w:val="Normal"/>
            </w:pPr>
            <w:r>
              <w:t>6</w:t>
            </w:r>
          </w:p>
        </w:tc>
        <w:tc>
          <w:p>
            <w:pPr>
              <w:pStyle w:val="Normal"/>
            </w:pPr>
            <w:r>
              <w:t>160.0</w:t>
            </w:r>
          </w:p>
        </w:tc>
        <w:tc>
          <w:p>
            <w:pPr>
              <w:pStyle w:val="Normal"/>
            </w:pPr>
            <w:r>
              <w:t>110</w:t>
            </w:r>
          </w:p>
        </w:tc>
        <w:tc>
          <w:p>
            <w:pPr>
              <w:pStyle w:val="Normal"/>
            </w:pPr>
            <w:r>
              <w:t>3.90</w:t>
            </w:r>
          </w:p>
        </w:tc>
        <w:tc>
          <w:p>
            <w:pPr>
              <w:pStyle w:val="Normal"/>
            </w:pPr>
            <w:r>
              <w:t>2.875</w:t>
            </w:r>
          </w:p>
        </w:tc>
        <w:tc>
          <w:p>
            <w:pPr>
              <w:pStyle w:val="Normal"/>
            </w:pPr>
            <w:r>
              <w:t>17.02</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22.8</w:t>
            </w:r>
          </w:p>
        </w:tc>
        <w:tc>
          <w:p>
            <w:pPr>
              <w:pStyle w:val="Normal"/>
            </w:pPr>
            <w:r>
              <w:t>4</w:t>
            </w:r>
          </w:p>
        </w:tc>
        <w:tc>
          <w:p>
            <w:pPr>
              <w:pStyle w:val="Normal"/>
            </w:pPr>
            <w:r>
              <w:t>108.0</w:t>
            </w:r>
          </w:p>
        </w:tc>
        <w:tc>
          <w:p>
            <w:pPr>
              <w:pStyle w:val="Normal"/>
            </w:pPr>
            <w:r>
              <w:t>93</w:t>
            </w:r>
          </w:p>
        </w:tc>
        <w:tc>
          <w:p>
            <w:pPr>
              <w:pStyle w:val="Normal"/>
            </w:pPr>
            <w:r>
              <w:t>3.85</w:t>
            </w:r>
          </w:p>
        </w:tc>
        <w:tc>
          <w:p>
            <w:pPr>
              <w:pStyle w:val="Normal"/>
            </w:pPr>
            <w:r>
              <w:t>2.320</w:t>
            </w:r>
          </w:p>
        </w:tc>
        <w:tc>
          <w:p>
            <w:pPr>
              <w:pStyle w:val="Normal"/>
            </w:pPr>
            <w:r>
              <w:t>18.61</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21.4</w:t>
            </w:r>
          </w:p>
        </w:tc>
        <w:tc>
          <w:p>
            <w:pPr>
              <w:pStyle w:val="Normal"/>
            </w:pPr>
            <w:r>
              <w:t>6</w:t>
            </w:r>
          </w:p>
        </w:tc>
        <w:tc>
          <w:p>
            <w:pPr>
              <w:pStyle w:val="Normal"/>
            </w:pPr>
            <w:r>
              <w:t>258.0</w:t>
            </w:r>
          </w:p>
        </w:tc>
        <w:tc>
          <w:p>
            <w:pPr>
              <w:pStyle w:val="Normal"/>
            </w:pPr>
            <w:r>
              <w:t>110</w:t>
            </w:r>
          </w:p>
        </w:tc>
        <w:tc>
          <w:p>
            <w:pPr>
              <w:pStyle w:val="Normal"/>
            </w:pPr>
            <w:r>
              <w:t>3.08</w:t>
            </w:r>
          </w:p>
        </w:tc>
        <w:tc>
          <w:p>
            <w:pPr>
              <w:pStyle w:val="Normal"/>
            </w:pPr>
            <w:r>
              <w:t>3.215</w:t>
            </w:r>
          </w:p>
        </w:tc>
        <w:tc>
          <w:p>
            <w:pPr>
              <w:pStyle w:val="Normal"/>
            </w:pPr>
            <w:r>
              <w:t>19.44</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18.7</w:t>
            </w:r>
          </w:p>
        </w:tc>
        <w:tc>
          <w:p>
            <w:pPr>
              <w:pStyle w:val="Normal"/>
            </w:pPr>
            <w:r>
              <w:t>8</w:t>
            </w:r>
          </w:p>
        </w:tc>
        <w:tc>
          <w:p>
            <w:pPr>
              <w:pStyle w:val="Normal"/>
            </w:pPr>
            <w:r>
              <w:t>360.0</w:t>
            </w:r>
          </w:p>
        </w:tc>
        <w:tc>
          <w:p>
            <w:pPr>
              <w:pStyle w:val="Normal"/>
            </w:pPr>
            <w:r>
              <w:t>175</w:t>
            </w:r>
          </w:p>
        </w:tc>
        <w:tc>
          <w:p>
            <w:pPr>
              <w:pStyle w:val="Normal"/>
            </w:pPr>
            <w:r>
              <w:t>3.15</w:t>
            </w:r>
          </w:p>
        </w:tc>
        <w:tc>
          <w:p>
            <w:pPr>
              <w:pStyle w:val="Normal"/>
            </w:pPr>
            <w:r>
              <w:t>3.440</w:t>
            </w:r>
          </w:p>
        </w:tc>
        <w:tc>
          <w:p>
            <w:pPr>
              <w:pStyle w:val="Normal"/>
            </w:pPr>
            <w:r>
              <w:t>17.02</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18.1</w:t>
            </w:r>
          </w:p>
        </w:tc>
        <w:tc>
          <w:p>
            <w:pPr>
              <w:pStyle w:val="Normal"/>
            </w:pPr>
            <w:r>
              <w:t>6</w:t>
            </w:r>
          </w:p>
        </w:tc>
        <w:tc>
          <w:p>
            <w:pPr>
              <w:pStyle w:val="Normal"/>
            </w:pPr>
            <w:r>
              <w:t>225.0</w:t>
            </w:r>
          </w:p>
        </w:tc>
        <w:tc>
          <w:p>
            <w:pPr>
              <w:pStyle w:val="Normal"/>
            </w:pPr>
            <w:r>
              <w:t>105</w:t>
            </w:r>
          </w:p>
        </w:tc>
        <w:tc>
          <w:p>
            <w:pPr>
              <w:pStyle w:val="Normal"/>
            </w:pPr>
            <w:r>
              <w:t>2.76</w:t>
            </w:r>
          </w:p>
        </w:tc>
        <w:tc>
          <w:p>
            <w:pPr>
              <w:pStyle w:val="Normal"/>
            </w:pPr>
            <w:r>
              <w:t>3.460</w:t>
            </w:r>
          </w:p>
        </w:tc>
        <w:tc>
          <w:p>
            <w:pPr>
              <w:pStyle w:val="Normal"/>
            </w:pPr>
            <w:r>
              <w:t>20.22</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14.3</w:t>
            </w:r>
          </w:p>
        </w:tc>
        <w:tc>
          <w:p>
            <w:pPr>
              <w:pStyle w:val="Normal"/>
            </w:pPr>
            <w:r>
              <w:t>8</w:t>
            </w:r>
          </w:p>
        </w:tc>
        <w:tc>
          <w:p>
            <w:pPr>
              <w:pStyle w:val="Normal"/>
            </w:pPr>
            <w:r>
              <w:t>360.0</w:t>
            </w:r>
          </w:p>
        </w:tc>
        <w:tc>
          <w:p>
            <w:pPr>
              <w:pStyle w:val="Normal"/>
            </w:pPr>
            <w:r>
              <w:t>245</w:t>
            </w:r>
          </w:p>
        </w:tc>
        <w:tc>
          <w:p>
            <w:pPr>
              <w:pStyle w:val="Normal"/>
            </w:pPr>
            <w:r>
              <w:t>3.21</w:t>
            </w:r>
          </w:p>
        </w:tc>
        <w:tc>
          <w:p>
            <w:pPr>
              <w:pStyle w:val="Normal"/>
            </w:pPr>
            <w:r>
              <w:t>3.570</w:t>
            </w:r>
          </w:p>
        </w:tc>
        <w:tc>
          <w:p>
            <w:pPr>
              <w:pStyle w:val="Normal"/>
            </w:pPr>
            <w:r>
              <w:t>15.84</w:t>
            </w:r>
          </w:p>
        </w:tc>
        <w:tc>
          <w:p>
            <w:pPr>
              <w:pStyle w:val="Normal"/>
            </w:pPr>
            <w:r>
              <w:t>0</w:t>
            </w:r>
          </w:p>
        </w:tc>
        <w:tc>
          <w:p>
            <w:pPr>
              <w:pStyle w:val="Normal"/>
            </w:pPr>
            <w:r>
              <w:t>0</w:t>
            </w:r>
          </w:p>
        </w:tc>
        <w:tc>
          <w:p>
            <w:pPr>
              <w:pStyle w:val="Normal"/>
            </w:pPr>
            <w:r>
              <w:t>3</w:t>
            </w:r>
          </w:p>
        </w:tc>
        <w:tc>
          <w:p>
            <w:pPr>
              <w:pStyle w:val="Normal"/>
            </w:pPr>
            <w:r>
              <w:t>4</w:t>
            </w:r>
          </w:p>
        </w:tc>
      </w:tr>
      <w:tr>
        <w:tc>
          <w:p>
            <w:pPr>
              <w:pStyle w:val="Normal"/>
            </w:pPr>
            <w:r>
              <w:t>24.4</w:t>
            </w:r>
          </w:p>
        </w:tc>
        <w:tc>
          <w:p>
            <w:pPr>
              <w:pStyle w:val="Normal"/>
            </w:pPr>
            <w:r>
              <w:t>4</w:t>
            </w:r>
          </w:p>
        </w:tc>
        <w:tc>
          <w:p>
            <w:pPr>
              <w:pStyle w:val="Normal"/>
            </w:pPr>
            <w:r>
              <w:t>146.7</w:t>
            </w:r>
          </w:p>
        </w:tc>
        <w:tc>
          <w:p>
            <w:pPr>
              <w:pStyle w:val="Normal"/>
            </w:pPr>
            <w:r>
              <w:t>62</w:t>
            </w:r>
          </w:p>
        </w:tc>
        <w:tc>
          <w:p>
            <w:pPr>
              <w:pStyle w:val="Normal"/>
            </w:pPr>
            <w:r>
              <w:t>3.69</w:t>
            </w:r>
          </w:p>
        </w:tc>
        <w:tc>
          <w:p>
            <w:pPr>
              <w:pStyle w:val="Normal"/>
            </w:pPr>
            <w:r>
              <w:t>3.190</w:t>
            </w:r>
          </w:p>
        </w:tc>
        <w:tc>
          <w:p>
            <w:pPr>
              <w:pStyle w:val="Normal"/>
            </w:pPr>
            <w:r>
              <w:t>20.00</w:t>
            </w:r>
          </w:p>
        </w:tc>
        <w:tc>
          <w:p>
            <w:pPr>
              <w:pStyle w:val="Normal"/>
            </w:pPr>
            <w:r>
              <w:t>1</w:t>
            </w:r>
          </w:p>
        </w:tc>
        <w:tc>
          <w:p>
            <w:pPr>
              <w:pStyle w:val="Normal"/>
            </w:pPr>
            <w:r>
              <w:t>0</w:t>
            </w:r>
          </w:p>
        </w:tc>
        <w:tc>
          <w:p>
            <w:pPr>
              <w:pStyle w:val="Normal"/>
            </w:pPr>
            <w:r>
              <w:t>4</w:t>
            </w:r>
          </w:p>
        </w:tc>
        <w:tc>
          <w:p>
            <w:pPr>
              <w:pStyle w:val="Normal"/>
            </w:pPr>
            <w:r>
              <w:t>2</w:t>
            </w:r>
          </w:p>
        </w:tc>
      </w:tr>
      <w:tr>
        <w:tc>
          <w:p>
            <w:pPr>
              <w:pStyle w:val="Normal"/>
            </w:pPr>
            <w:r>
              <w:t>22.8</w:t>
            </w:r>
          </w:p>
        </w:tc>
        <w:tc>
          <w:p>
            <w:pPr>
              <w:pStyle w:val="Normal"/>
            </w:pPr>
            <w:r>
              <w:t>4</w:t>
            </w:r>
          </w:p>
        </w:tc>
        <w:tc>
          <w:p>
            <w:pPr>
              <w:pStyle w:val="Normal"/>
            </w:pPr>
            <w:r>
              <w:t>140.8</w:t>
            </w:r>
          </w:p>
        </w:tc>
        <w:tc>
          <w:p>
            <w:pPr>
              <w:pStyle w:val="Normal"/>
            </w:pPr>
            <w:r>
              <w:t>95</w:t>
            </w:r>
          </w:p>
        </w:tc>
        <w:tc>
          <w:p>
            <w:pPr>
              <w:pStyle w:val="Normal"/>
            </w:pPr>
            <w:r>
              <w:t>3.92</w:t>
            </w:r>
          </w:p>
        </w:tc>
        <w:tc>
          <w:p>
            <w:pPr>
              <w:pStyle w:val="Normal"/>
            </w:pPr>
            <w:r>
              <w:t>3.150</w:t>
            </w:r>
          </w:p>
        </w:tc>
        <w:tc>
          <w:p>
            <w:pPr>
              <w:pStyle w:val="Normal"/>
            </w:pPr>
            <w:r>
              <w:t>22.90</w:t>
            </w:r>
          </w:p>
        </w:tc>
        <w:tc>
          <w:p>
            <w:pPr>
              <w:pStyle w:val="Normal"/>
            </w:pPr>
            <w:r>
              <w:t>1</w:t>
            </w:r>
          </w:p>
        </w:tc>
        <w:tc>
          <w:p>
            <w:pPr>
              <w:pStyle w:val="Normal"/>
            </w:pPr>
            <w:r>
              <w:t>0</w:t>
            </w:r>
          </w:p>
        </w:tc>
        <w:tc>
          <w:p>
            <w:pPr>
              <w:pStyle w:val="Normal"/>
            </w:pPr>
            <w:r>
              <w:t>4</w:t>
            </w:r>
          </w:p>
        </w:tc>
        <w:tc>
          <w:p>
            <w:pPr>
              <w:pStyle w:val="Normal"/>
            </w:pPr>
            <w:r>
              <w:t>2</w:t>
            </w:r>
          </w:p>
        </w:tc>
      </w:tr>
      <w:tr>
        <w:tc>
          <w:p>
            <w:pPr>
              <w:pStyle w:val="Normal"/>
            </w:pPr>
            <w:r>
              <w:t>19.2</w:t>
            </w:r>
          </w:p>
        </w:tc>
        <w:tc>
          <w:p>
            <w:pPr>
              <w:pStyle w:val="Normal"/>
            </w:pPr>
            <w:r>
              <w:t>6</w:t>
            </w:r>
          </w:p>
        </w:tc>
        <w:tc>
          <w:p>
            <w:pPr>
              <w:pStyle w:val="Normal"/>
            </w:pPr>
            <w:r>
              <w:t>167.6</w:t>
            </w:r>
          </w:p>
        </w:tc>
        <w:tc>
          <w:p>
            <w:pPr>
              <w:pStyle w:val="Normal"/>
            </w:pPr>
            <w:r>
              <w:t>123</w:t>
            </w:r>
          </w:p>
        </w:tc>
        <w:tc>
          <w:p>
            <w:pPr>
              <w:pStyle w:val="Normal"/>
            </w:pPr>
            <w:r>
              <w:t>3.92</w:t>
            </w:r>
          </w:p>
        </w:tc>
        <w:tc>
          <w:p>
            <w:pPr>
              <w:pStyle w:val="Normal"/>
            </w:pPr>
            <w:r>
              <w:t>3.440</w:t>
            </w:r>
          </w:p>
        </w:tc>
        <w:tc>
          <w:p>
            <w:pPr>
              <w:pStyle w:val="Normal"/>
            </w:pPr>
            <w:r>
              <w:t>18.30</w:t>
            </w:r>
          </w:p>
        </w:tc>
        <w:tc>
          <w:p>
            <w:pPr>
              <w:pStyle w:val="Normal"/>
            </w:pPr>
            <w:r>
              <w:t>1</w:t>
            </w:r>
          </w:p>
        </w:tc>
        <w:tc>
          <w:p>
            <w:pPr>
              <w:pStyle w:val="Normal"/>
            </w:pPr>
            <w:r>
              <w:t>0</w:t>
            </w:r>
          </w:p>
        </w:tc>
        <w:tc>
          <w:p>
            <w:pPr>
              <w:pStyle w:val="Normal"/>
            </w:pPr>
            <w:r>
              <w:t>4</w:t>
            </w:r>
          </w:p>
        </w:tc>
        <w:tc>
          <w:p>
            <w:pPr>
              <w:pStyle w:val="Normal"/>
            </w:pPr>
            <w:r>
              <w:t>4</w:t>
            </w:r>
          </w:p>
        </w:tc>
      </w:tr>
    </w:tbl>
    <w:p>
      <w:pPr>
        <w:pStyle w:val="BodyText"/>
      </w:pPr>
      <w:r>
        <w:t xml:space="preserve">The</w:t>
      </w:r>
      <w:r>
        <w:t xml:space="preserve"> </w:t>
      </w:r>
      <w:hyperlink r:id="rId27">
        <w:r>
          <w:rPr>
            <w:rStyle w:val="VerbatimChar"/>
          </w:rPr>
          <w:t xml:space="preserve">flextable</w:t>
        </w:r>
      </w:hyperlink>
      <w:r>
        <w:t xml:space="preserve"> </w:t>
      </w:r>
      <w:r>
        <w:t xml:space="preserve">package provides additional formatting flexibility when exporting to Word (Table</w:t>
      </w:r>
      <w:r>
        <w:t xml:space="preserve"> </w:t>
      </w:r>
      <w:hyperlink w:anchor="mtcarsflex">
        <w:r xmlns:w14="http://schemas.microsoft.com/office/word/2010/wordml">
          <w:rPr/>
          <w:fldChar w:fldCharType="begin" w:dirty="true"/>
        </w:r>
        <w:r xmlns:w14="http://schemas.microsoft.com/office/word/2010/wordml">
          <w:rPr/>
          <w:instrText xml:space="preserve" w:dirty="true"> REF mtcarsflex \h</w:instrText>
        </w:r>
        <w:r xmlns:w14="http://schemas.microsoft.com/office/word/2010/wordml">
          <w:rPr/>
          <w:fldChar w:fldCharType="end" w:dirty="true"/>
        </w:r>
      </w:hyperlink>
      <w:r>
        <w:t xml:space="preserve">).</w:t>
      </w:r>
    </w:p>
    <w:p>
      <w:pPr>
        <w:pStyle w:val="TableCaption"/>
      </w:pPr>
      <w:r>
        <w:rPr>
          <w:rFonts/>
          <w:b w:val="false"/>
        </w:rPr>
        <w:t xml:space="preserve">Table </w:t>
      </w:r>
      <w:bookmarkStart w:id="d0f63a4a-0aec-4024-adfc-5aef58f26c77" w:name="mtcarsflex"/>
      <w:r xmlns:w14="http://schemas.microsoft.com/office/word/2010/wordml">
        <w:rPr>
          <w:rFonts/>
          <w:b w:val="false"/>
        </w:rPr>
        <w:fldChar w:fldCharType="begin" w:dirty="true"/>
      </w:r>
      <w:r xmlns:w14="http://schemas.microsoft.com/office/word/2010/wordml">
        <w:rPr>
          <w:rFonts/>
          <w:b w:val="false"/>
        </w:rPr>
        <w:instrText xml:space="preserve" w:dirty="true">SEQ tab \* Arabic</w:instrText>
      </w:r>
      <w:r xmlns:w14="http://schemas.microsoft.com/office/word/2010/wordml">
        <w:rPr>
          <w:rFonts/>
          <w:b w:val="false"/>
        </w:rPr>
        <w:fldChar w:fldCharType="end" w:dirty="true"/>
      </w:r>
      <w:bookmarkEnd w:id="d0f63a4a-0aec-4024-adfc-5aef58f26c77"/>
      <w:r>
        <w:t xml:space="preserve">. </w:t>
      </w:r>
      <w:r>
        <w:t xml:space="preserve">flextable formatted table.</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mpg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cyl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disp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drat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qsec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vs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carb</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3.440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w:t>
            </w:r>
          </w:p>
        </w:tc>
      </w:tr>
    </w:tbl>
    <w:bookmarkEnd w:id="28"/>
    <w:bookmarkStart w:id="29" w:name="figures"/>
    <w:p>
      <w:pPr>
        <w:pStyle w:val="Heading1"/>
      </w:pPr>
      <w:r>
        <w:t xml:space="preserve">Figures</w:t>
      </w:r>
    </w:p>
    <w:p>
      <w:pPr>
        <w:pStyle w:val="FirstParagraph"/>
      </w:pPr>
      <w:r>
        <w:t xml:space="preserve">We can embed and cross-reference plots (Figure</w:t>
      </w:r>
      <w:r>
        <w:t xml:space="preserve"> </w:t>
      </w:r>
      <w:hyperlink w:anchor="pressure">
        <w:r xmlns:w14="http://schemas.microsoft.com/office/word/2010/wordml">
          <w:rPr/>
          <w:fldChar w:fldCharType="begin" w:dirty="true"/>
        </w:r>
        <w:r xmlns:w14="http://schemas.microsoft.com/office/word/2010/wordml">
          <w:rPr/>
          <w:instrText xml:space="preserve" w:dirty="true"> REF pressure \h</w:instrText>
        </w:r>
        <w:r xmlns:w14="http://schemas.microsoft.com/office/word/2010/wordml">
          <w:rPr/>
          <w:fldChar w:fldCharType="end" w:dirty="true"/>
        </w:r>
      </w:hyperlink>
      <w:r>
        <w:t xml:space="preserve">).</w:t>
      </w:r>
    </w:p>
    <w:p>
      <w:pPr>
        <w:jc w:val="center"/>
        <w:pStyle w:val="Normal"/>
      </w:pPr>
      <w:r>
        <w:rPr/>
        <w:drawing>
          <wp:inline distT="0" distB="0" distL="0" distR="0">
            <wp:extent cx="5486400" cy="3657600"/>
            <wp:docPr id="3" name="" descr="Alternative text for screen readers"/>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59"/>
                    <a:srcRect/>
                    <a:stretch>
                      <a:fillRect/>
                    </a:stretch>
                  </pic:blipFill>
                  <pic:spPr bwMode="auto">
                    <a:xfrm>
                      <a:off x="0" y="0"/>
                      <a:ext cx="76200" cy="50800"/>
                    </a:xfrm>
                    <a:prstGeom prst="rect">
                      <a:avLst/>
                    </a:prstGeom>
                    <a:noFill/>
                  </pic:spPr>
                </pic:pic>
              </a:graphicData>
            </a:graphic>
          </wp:inline>
        </w:drawing>
      </w:r>
    </w:p>
    <w:p>
      <w:pPr>
        <w:pStyle w:val="ImageCaption"/>
      </w:pPr>
      <w:r>
        <w:rPr>
          <w:rFonts/>
          <w:b w:val="false"/>
        </w:rPr>
        <w:t xml:space="preserve">Figure </w:t>
      </w:r>
      <w:bookmarkStart w:id="c22e7ff9-f89d-47f0-a73b-c6cc5e77d215" w:name="pressure"/>
      <w:r xmlns:w14="http://schemas.microsoft.com/office/word/2010/wordml">
        <w:rPr>
          <w:rFonts/>
          <w:b w:val="false"/>
        </w:rPr>
        <w:fldChar w:fldCharType="begin" w:dirty="true"/>
      </w:r>
      <w:r xmlns:w14="http://schemas.microsoft.com/office/word/2010/wordml">
        <w:rPr>
          <w:rFonts/>
          <w:b w:val="false"/>
        </w:rPr>
        <w:instrText xml:space="preserve" w:dirty="true">SEQ fig \* Arabic</w:instrText>
      </w:r>
      <w:r xmlns:w14="http://schemas.microsoft.com/office/word/2010/wordml">
        <w:rPr>
          <w:rFonts/>
          <w:b w:val="false"/>
        </w:rPr>
        <w:fldChar w:fldCharType="end" w:dirty="true"/>
      </w:r>
      <w:bookmarkEnd w:id="c22e7ff9-f89d-47f0-a73b-c6cc5e77d215"/>
      <w:r>
        <w:t xml:space="preserve">. </w:t>
      </w:r>
      <w:r>
        <w:t xml:space="preserve">pressure dataset</w:t>
      </w:r>
    </w:p>
    <w:p>
      <w:pPr>
        <w:sectPr>
          <w:type w:val="nextPage"/>
          <w:footerReference r:id="rId9" w:type="default"/>
          <w:cols/>
          <w:pgSz w:h="16848" w:w="11952" w:orient="portrait"/>
          <w:pgMar w:header="720" w:bottom="1800" w:top="1800" w:right="720" w:left="720" w:footer="720" w:gutter="720"/>
        </w:sectPr>
      </w:pPr>
    </w:p>
    <w:p>
      <w:pPr>
        <w:sectPr>
          <w:type w:val="continuous"/>
          <w:footerReference r:id="rId9" w:type="default"/>
          <w:cols/>
          <w:pgSz w:h="16848" w:w="11952" w:orient="portrait"/>
          <w:pgMar w:header="720" w:bottom="1800" w:top="1800" w:right="720" w:left="720" w:footer="720" w:gutter="720"/>
        </w:sectPr>
      </w:pPr>
    </w:p>
    <w:bookmarkEnd w:id="29"/>
    <w:bookmarkStart w:id="30" w:name="landscape-section"/>
    <w:p>
      <w:pPr>
        <w:pStyle w:val="Heading1"/>
      </w:pPr>
      <w:r>
        <w:t xml:space="preserve">Landscape Section</w:t>
      </w:r>
    </w:p>
    <w:p>
      <w:pPr>
        <w:jc w:val="center"/>
        <w:pStyle w:val="Normal"/>
      </w:pPr>
      <w:r>
        <w:rPr/>
        <w:drawing>
          <wp:inline distT="0" distB="0" distL="0" distR="0">
            <wp:extent cx="54864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60"/>
                    <a:srcRect/>
                    <a:stretch>
                      <a:fillRect/>
                    </a:stretch>
                  </pic:blipFill>
                  <pic:spPr bwMode="auto">
                    <a:xfrm>
                      <a:off x="0" y="0"/>
                      <a:ext cx="76200" cy="50800"/>
                    </a:xfrm>
                    <a:prstGeom prst="rect">
                      <a:avLst/>
                    </a:prstGeom>
                    <a:noFill/>
                  </pic:spPr>
                </pic:pic>
              </a:graphicData>
            </a:graphic>
          </wp:inline>
        </w:drawing>
      </w:r>
    </w:p>
    <w:p>
      <w:pPr>
        <w:pStyle w:val="ImageCaption"/>
      </w:pPr>
      <w:r>
        <w:rPr>
          <w:rFonts/>
          <w:b w:val="false"/>
        </w:rPr>
        <w:t xml:space="preserve">Figure </w:t>
      </w:r>
      <w:bookmarkStart w:id="9ff0cbe5-947f-473b-877c-5f2d0a8ef483" w:name="sinus"/>
      <w:r xmlns:w14="http://schemas.microsoft.com/office/word/2010/wordml">
        <w:rPr>
          <w:rFonts/>
          <w:b w:val="false"/>
        </w:rPr>
        <w:fldChar w:fldCharType="begin" w:dirty="true"/>
      </w:r>
      <w:r xmlns:w14="http://schemas.microsoft.com/office/word/2010/wordml">
        <w:rPr>
          <w:rFonts/>
          <w:b w:val="false"/>
        </w:rPr>
        <w:instrText xml:space="preserve" w:dirty="true">SEQ fig \* Arabic</w:instrText>
      </w:r>
      <w:r xmlns:w14="http://schemas.microsoft.com/office/word/2010/wordml">
        <w:rPr>
          <w:rFonts/>
          <w:b w:val="false"/>
        </w:rPr>
        <w:fldChar w:fldCharType="end" w:dirty="true"/>
      </w:r>
      <w:bookmarkEnd w:id="9ff0cbe5-947f-473b-877c-5f2d0a8ef483"/>
      <w:r>
        <w:t xml:space="preserve">. </w:t>
      </w:r>
      <w:r>
        <w:t xml:space="preserve">sin function</w:t>
      </w:r>
    </w:p>
    <w:p>
      <w:pPr>
        <w:sectPr>
          <w:pgSz w:h="11906" w:w="16838" w:orient="landscape"/>
          <w:footerReference r:id="rId9" w:type="default"/>
          <w:type w:val="oddPage"/>
          <w:cols/>
          <w:pgMar w:header="720" w:bottom="1800" w:top="1800" w:right="720" w:left="720" w:footer="720" w:gutter="720"/>
        </w:sectPr>
      </w:pPr>
    </w:p>
    <w:bookmarkEnd w:id="30"/>
    <w:bookmarkStart w:id="31" w:name="math"/>
    <w:p>
      <w:pPr>
        <w:pStyle w:val="Heading1"/>
      </w:pPr>
      <w:r>
        <w:t xml:space="preserve">Math</w:t>
      </w:r>
    </w:p>
    <w:p>
      <w:pPr>
        <w:pStyle w:val="FirstParagraph"/>
      </w:pPr>
      <w:r>
        <w:t xml:space="preserve">Wrap variables or math in a single</w:t>
      </w:r>
      <w:r>
        <w:t xml:space="preserve"> </w:t>
      </w:r>
      <w:r>
        <w:rPr>
          <w:rStyle w:val="VerbatimChar"/>
        </w:rPr>
        <w:t xml:space="preserve">$</w:t>
      </w:r>
      <w:r>
        <w:t xml:space="preserve"> </w:t>
      </w:r>
      <w:r>
        <w:t xml:space="preserve">to show math inline. For example,</w:t>
      </w:r>
      <w:r>
        <w:t xml:space="preserve"> </w:t>
      </w:r>
      <m:oMath>
        <m:r>
          <m:t>ε</m:t>
        </m:r>
        <m:r>
          <m:rPr>
            <m:sty m:val="p"/>
          </m:rPr>
          <m:t>∼</m:t>
        </m:r>
        <m:r>
          <m:rPr>
            <m:sty m:val="p"/>
          </m:rPr>
          <m:t>N</m:t>
        </m:r>
        <m:d>
          <m:dPr>
            <m:begChr m:val="("/>
            <m:endChr m:val=")"/>
            <m:sepChr m:val=""/>
            <m:grow/>
          </m:dPr>
          <m:e>
            <m:r>
              <m:t>0</m:t>
            </m:r>
            <m:r>
              <m:rPr>
                <m:sty m:val="p"/>
              </m:rPr>
              <m:t>,</m:t>
            </m:r>
            <m:r>
              <m:t>1</m:t>
            </m:r>
          </m:e>
        </m:d>
      </m:oMath>
      <w:r>
        <w:t xml:space="preserve">. Standalone equations are wrapped with</w:t>
      </w:r>
      <w:r>
        <w:t xml:space="preserve"> </w:t>
      </w:r>
      <w:r>
        <w:rPr>
          <w:rStyle w:val="VerbatimChar"/>
        </w:rPr>
        <w:t xml:space="preserve">$$</w:t>
      </w:r>
      <w:r>
        <w:t xml:space="preserve">.</w:t>
      </w:r>
    </w:p>
    <w:p>
      <w:pPr>
        <w:pStyle w:val="BodyText"/>
      </w:pPr>
      <m:oMathPara>
        <m:oMathParaPr>
          <m:jc m:val="center"/>
        </m:oMathParaPr>
        <m:oMath>
          <m:sSup>
            <m:e>
              <m:d>
                <m:dPr>
                  <m:begChr m:val="("/>
                  <m:endChr m:val=")"/>
                  <m:sepChr m:val=""/>
                  <m:grow/>
                </m:dPr>
                <m:e>
                  <m:nary>
                    <m:naryPr>
                      <m:chr m:val="∏"/>
                      <m:limLoc m:val="undOvr"/>
                      <m:subHide m:val="0"/>
                      <m:supHide m:val="0"/>
                    </m:naryPr>
                    <m:sub>
                      <m:r>
                        <m:t>i</m:t>
                      </m:r>
                      <m:r>
                        <m:rPr>
                          <m:sty m:val="p"/>
                        </m:rPr>
                        <m:t>=</m:t>
                      </m:r>
                      <m:r>
                        <m:t>1</m:t>
                      </m:r>
                    </m:sub>
                    <m:sup>
                      <m:r>
                        <m:t>n</m:t>
                      </m:r>
                    </m:sup>
                    <m:e>
                      <m:sSub>
                        <m:e>
                          <m:r>
                            <m:t>y</m:t>
                          </m:r>
                        </m:e>
                        <m:sub>
                          <m:r>
                            <m:t>i</m:t>
                          </m:r>
                        </m:sub>
                      </m:sSub>
                    </m:e>
                  </m:nary>
                </m:e>
              </m:d>
            </m:e>
            <m:sup>
              <m:f>
                <m:fPr>
                  <m:type m:val="bar"/>
                </m:fPr>
                <m:num>
                  <m:r>
                    <m:t>1</m:t>
                  </m:r>
                </m:num>
                <m:den>
                  <m:r>
                    <m:t>n</m:t>
                  </m:r>
                </m:den>
              </m:f>
            </m:sup>
          </m:sSup>
          <m:r>
            <m:rPr>
              <m:sty m:val="p"/>
            </m:rPr>
            <m:t>=</m:t>
          </m:r>
          <m:r>
            <m:rPr>
              <m:sty m:val="p"/>
            </m:rPr>
            <m:t>exp</m:t>
          </m:r>
          <m:d>
            <m:dPr>
              <m:begChr m:val="["/>
              <m:endChr m:val="]"/>
              <m:sepChr m:val=""/>
              <m:grow/>
            </m:dPr>
            <m:e>
              <m:f>
                <m:fPr>
                  <m:type m:val="bar"/>
                </m:fPr>
                <m:num>
                  <m:r>
                    <m:t>1</m:t>
                  </m:r>
                </m:num>
                <m:den>
                  <m:r>
                    <m:t>n</m:t>
                  </m:r>
                </m:den>
              </m:f>
              <m:nary>
                <m:naryPr>
                  <m:chr m:val="∑"/>
                  <m:limLoc m:val="undOvr"/>
                  <m:subHide m:val="0"/>
                  <m:supHide m:val="0"/>
                </m:naryPr>
                <m:sub>
                  <m:r>
                    <m:t>i</m:t>
                  </m:r>
                  <m:r>
                    <m:rPr>
                      <m:sty m:val="p"/>
                    </m:rPr>
                    <m:t>=</m:t>
                  </m:r>
                  <m:r>
                    <m:t>1</m:t>
                  </m:r>
                </m:sub>
                <m:sup>
                  <m:r>
                    <m:t>n</m:t>
                  </m:r>
                </m:sup>
                <m:e>
                  <m:r>
                    <m:rPr>
                      <m:sty m:val="p"/>
                    </m:rPr>
                    <m:t>log</m:t>
                  </m:r>
                </m:e>
              </m:nary>
              <m:sSub>
                <m:e>
                  <m:r>
                    <m:t>y</m:t>
                  </m:r>
                </m:e>
                <m:sub>
                  <m:r>
                    <m:t>i</m:t>
                  </m:r>
                </m:sub>
              </m:sSub>
            </m:e>
          </m:d>
          <m:r>
            <m:rPr>
              <m:sty m:val="p"/>
            </m:rPr>
            <m:t>,</m:t>
          </m:r>
          <m:r>
            <m:t> </m:t>
          </m:r>
          <m:r>
            <m:rPr>
              <m:nor/>
              <m:sty m:val="p"/>
            </m:rPr>
            <m:t>when</m:t>
          </m:r>
          <m:r>
            <m:t> </m:t>
          </m:r>
          <m:sSub>
            <m:e>
              <m:r>
                <m:t>y</m:t>
              </m:r>
            </m:e>
            <m:sub>
              <m:r>
                <m:t>1</m:t>
              </m:r>
            </m:sub>
          </m:sSub>
          <m:r>
            <m:rPr>
              <m:sty m:val="p"/>
            </m:rPr>
            <m:t>,</m:t>
          </m:r>
          <m:sSub>
            <m:e>
              <m:r>
                <m:t>y</m:t>
              </m:r>
            </m:e>
            <m:sub>
              <m:r>
                <m:t>2</m:t>
              </m:r>
            </m:sub>
          </m:sSub>
          <m:r>
            <m:rPr>
              <m:sty m:val="p"/>
            </m:rPr>
            <m:t>,</m:t>
          </m:r>
          <m:r>
            <m:rPr>
              <m:sty m:val="p"/>
            </m:rPr>
            <m:t>.</m:t>
          </m:r>
          <m:r>
            <m:rPr>
              <m:sty m:val="p"/>
            </m:rPr>
            <m:t>.</m:t>
          </m:r>
          <m:r>
            <m:rPr>
              <m:sty m:val="p"/>
            </m:rPr>
            <m:t>.</m:t>
          </m:r>
          <m:r>
            <m:rPr>
              <m:sty m:val="p"/>
            </m:rPr>
            <m:t>,</m:t>
          </m:r>
          <m:sSub>
            <m:e>
              <m:r>
                <m:t>y</m:t>
              </m:r>
            </m:e>
            <m:sub>
              <m:r>
                <m:t>n</m:t>
              </m:r>
            </m:sub>
          </m:sSub>
          <m:r>
            <m:rPr>
              <m:sty m:val="p"/>
            </m:rPr>
            <m:t>&gt;</m:t>
          </m:r>
          <m:r>
            <m:t>0</m:t>
          </m:r>
        </m:oMath>
      </m:oMathPara>
    </w:p>
    <w:p>
      <w:pPr>
        <w:pStyle w:val="FirstParagraph"/>
      </w:pPr>
      <w:r>
        <w:t xml:space="preserve">If the equations need to be numbered and cross-referenced the format as:</w:t>
      </w:r>
    </w:p>
    <w:p>
      <w:pPr>
        <w:pStyle w:val="SourceCode"/>
      </w:pPr>
      <w:r>
        <w:rPr>
          <w:rStyle w:val="KeywordTok"/>
        </w:rPr>
        <w:t xml:space="preserve">\begin</w:t>
      </w:r>
      <w:r>
        <w:rPr>
          <w:rStyle w:val="NormalTok"/>
        </w:rPr>
        <w:t xml:space="preserve">{</w:t>
      </w:r>
      <w:r>
        <w:rPr>
          <w:rStyle w:val="ExtensionTok"/>
        </w:rPr>
        <w:t xml:space="preserve">equation</w:t>
      </w:r>
      <w:r>
        <w:rPr>
          <w:rStyle w:val="NormalTok"/>
        </w:rPr>
        <w:t xml:space="preserve">}</w:t>
      </w:r>
      <w:r>
        <w:br/>
      </w:r>
      <w:r>
        <w:rPr>
          <w:rStyle w:val="SpecialCharTok"/>
        </w:rPr>
        <w:t xml:space="preserve">\left</w:t>
      </w:r>
      <w:r>
        <w:rPr>
          <w:rStyle w:val="SpecialStringTok"/>
        </w:rPr>
        <w:t xml:space="preserve">(</w:t>
      </w:r>
      <w:r>
        <w:rPr>
          <w:rStyle w:val="SpecialCharTok"/>
        </w:rPr>
        <w:t xml:space="preserve">\prod</w:t>
      </w:r>
      <w:r>
        <w:rPr>
          <w:rStyle w:val="SpecialStringTok"/>
        </w:rPr>
        <w:t xml:space="preserve">_{i=1}^{n}y_i</w:t>
      </w:r>
      <w:r>
        <w:rPr>
          <w:rStyle w:val="SpecialCharTok"/>
        </w:rPr>
        <w:t xml:space="preserve">\right</w:t>
      </w:r>
      <w:r>
        <w:rPr>
          <w:rStyle w:val="SpecialStringTok"/>
        </w:rPr>
        <w:t xml:space="preserve">)^{</w:t>
      </w:r>
      <w:r>
        <w:rPr>
          <w:rStyle w:val="SpecialCharTok"/>
        </w:rPr>
        <w:t xml:space="preserve">\frac</w:t>
      </w:r>
      <w:r>
        <w:rPr>
          <w:rStyle w:val="SpecialStringTok"/>
        </w:rPr>
        <w:t xml:space="preserve">{1}{n}} = </w:t>
      </w:r>
      <w:r>
        <w:rPr>
          <w:rStyle w:val="SpecialCharTok"/>
        </w:rPr>
        <w:t xml:space="preserve">\exp\left</w:t>
      </w:r>
      <w:r>
        <w:rPr>
          <w:rStyle w:val="SpecialStringTok"/>
        </w:rPr>
        <w:t xml:space="preserve">[</w:t>
      </w:r>
      <w:r>
        <w:rPr>
          <w:rStyle w:val="SpecialCharTok"/>
        </w:rPr>
        <w:t xml:space="preserve">\frac</w:t>
      </w:r>
      <w:r>
        <w:rPr>
          <w:rStyle w:val="SpecialStringTok"/>
        </w:rPr>
        <w:t xml:space="preserve">{1}{n}</w:t>
      </w:r>
      <w:r>
        <w:rPr>
          <w:rStyle w:val="SpecialCharTok"/>
        </w:rPr>
        <w:t xml:space="preserve">\sum</w:t>
      </w:r>
      <w:r>
        <w:rPr>
          <w:rStyle w:val="SpecialStringTok"/>
        </w:rPr>
        <w:t xml:space="preserve">_{i=1}^n</w:t>
      </w:r>
      <w:r>
        <w:rPr>
          <w:rStyle w:val="SpecialCharTok"/>
        </w:rPr>
        <w:t xml:space="preserve">\log</w:t>
      </w:r>
      <w:r>
        <w:rPr>
          <w:rStyle w:val="SpecialStringTok"/>
        </w:rPr>
        <w:t xml:space="preserve">{y_i}</w:t>
      </w:r>
      <w:r>
        <w:rPr>
          <w:rStyle w:val="SpecialCharTok"/>
        </w:rPr>
        <w:t xml:space="preserve">\right</w:t>
      </w:r>
      <w:r>
        <w:rPr>
          <w:rStyle w:val="SpecialStringTok"/>
        </w:rPr>
        <w:t xml:space="preserve">], </w:t>
      </w:r>
      <w:r>
        <w:rPr>
          <w:rStyle w:val="SpecialCharTok"/>
        </w:rPr>
        <w:t xml:space="preserve">\quad</w:t>
      </w:r>
      <w:r>
        <w:rPr>
          <w:rStyle w:val="SpecialStringTok"/>
        </w:rPr>
        <w:t xml:space="preserve"> </w:t>
      </w:r>
      <w:r>
        <w:rPr>
          <w:rStyle w:val="SpecialCharTok"/>
        </w:rPr>
        <w:t xml:space="preserve">\textrm</w:t>
      </w:r>
      <w:r>
        <w:rPr>
          <w:rStyle w:val="NormalTok"/>
        </w:rPr>
        <w:t xml:space="preserve">{when}</w:t>
      </w:r>
      <w:r>
        <w:rPr>
          <w:rStyle w:val="SpecialStringTok"/>
        </w:rPr>
        <w:t xml:space="preserve"> </w:t>
      </w:r>
      <w:r>
        <w:rPr>
          <w:rStyle w:val="SpecialCharTok"/>
        </w:rPr>
        <w:t xml:space="preserve">\quad</w:t>
      </w:r>
      <w:r>
        <w:rPr>
          <w:rStyle w:val="SpecialStringTok"/>
        </w:rPr>
        <w:t xml:space="preserve"> y_1, y_2, ..., y_n &gt; 0</w:t>
      </w:r>
      <w:r>
        <w:br/>
      </w:r>
      <w:r>
        <w:rPr>
          <w:rStyle w:val="SpecialStringTok"/>
        </w:rPr>
        <w:t xml:space="preserve">(</w:t>
      </w:r>
      <w:r>
        <w:rPr>
          <w:rStyle w:val="SpecialCharTok"/>
        </w:rPr>
        <w:t xml:space="preserve">\#</w:t>
      </w:r>
      <w:r>
        <w:rPr>
          <w:rStyle w:val="SpecialStringTok"/>
        </w:rPr>
        <w:t xml:space="preserve">eq:gmean)</w:t>
      </w:r>
      <w:r>
        <w:br/>
      </w:r>
      <w:r>
        <w:rPr>
          <w:rStyle w:val="KeywordTok"/>
        </w:rPr>
        <w:t xml:space="preserve">\end</w:t>
      </w:r>
      <w:r>
        <w:rPr>
          <w:rStyle w:val="NormalTok"/>
        </w:rPr>
        <w:t xml:space="preserve">{</w:t>
      </w:r>
      <w:r>
        <w:rPr>
          <w:rStyle w:val="ExtensionTok"/>
        </w:rPr>
        <w:t xml:space="preserve">equation</w:t>
      </w:r>
      <w:r>
        <w:rPr>
          <w:rStyle w:val="NormalTok"/>
        </w:rPr>
        <w:t xml:space="preserve">}</w:t>
      </w:r>
    </w:p>
    <w:p>
      <w:pPr>
        <w:pStyle w:val="FirstParagraph"/>
      </w:pPr>
      <w:r>
        <w:t xml:space="preserve">Which renders as (Equation @ref(eq:gmean):</w:t>
      </w:r>
    </w:p>
    <w:p>
      <w:pPr>
        <w:pStyle w:val="BodyText"/>
      </w:pPr>
    </w:p>
    <w:bookmarkEnd w:id="31"/>
    <w:bookmarkStart w:id="32" w:name="references"/>
    <w:p>
      <w:pPr>
        <w:pStyle w:val="Heading1"/>
      </w:pPr>
      <w:r>
        <w:t xml:space="preserve">References</w:t>
      </w:r>
    </w:p>
    <w:p>
      <w:pPr>
        <w:pStyle w:val="FirstParagraph"/>
      </w:pPr>
      <w:r>
        <w:t xml:space="preserve">In-text references and bibliography generation are handled automatically. It relies on creating a bibtex</w:t>
      </w:r>
      <w:r>
        <w:t xml:space="preserve"> </w:t>
      </w:r>
      <w:r>
        <w:rPr>
          <w:rStyle w:val="VerbatimChar"/>
        </w:rPr>
        <w:t xml:space="preserve">.bib</w:t>
      </w:r>
      <w:r>
        <w:t xml:space="preserve"> </w:t>
      </w:r>
      <w:r>
        <w:t xml:space="preserve">file with your references. Software such as Zotero, Mendely, and even Google Scholar can generate the bibtex entries for you. The entries are stored in the</w:t>
      </w:r>
      <w:r>
        <w:t xml:space="preserve"> </w:t>
      </w:r>
      <w:r>
        <w:rPr>
          <w:rStyle w:val="VerbatimChar"/>
        </w:rPr>
        <w:t xml:space="preserve">bibliography.bib</w:t>
      </w:r>
      <w:r>
        <w:t xml:space="preserve"> </w:t>
      </w:r>
      <w:r>
        <w:t xml:space="preserve">file inside the same directory as this</w:t>
      </w:r>
      <w:r>
        <w:t xml:space="preserve"> </w:t>
      </w:r>
      <w:r>
        <w:rPr>
          <w:rStyle w:val="VerbatimChar"/>
        </w:rPr>
        <w:t xml:space="preserve">.Rmd</w:t>
      </w:r>
      <w:r>
        <w:t xml:space="preserve"> </w:t>
      </w:r>
      <w:r>
        <w:t xml:space="preserve">file. To make a in text citation, use the following syntax,</w:t>
      </w:r>
      <w:r>
        <w:t xml:space="preserve"> </w:t>
      </w:r>
      <w:r>
        <w:rPr>
          <w:rStyle w:val="VerbatimChar"/>
        </w:rPr>
        <w:t xml:space="preserve">[@helsel_statistical_2002]</w:t>
      </w:r>
      <w:r>
        <w:t xml:space="preserve"> </w:t>
      </w:r>
      <w:r>
        <w:t xml:space="preserve">to generate the reference at the end of this sentence</w:t>
      </w:r>
      <w:r>
        <w:t xml:space="preserve"> </w:t>
      </w:r>
      <w:r>
        <w:t xml:space="preserve">(</w:t>
      </w:r>
      <w:r>
        <w:rPr>
          <w:bCs/>
          <w:b/>
        </w:rPr>
        <w:t xml:space="preserve">helsel_statistical_2002?</w:t>
      </w:r>
      <w:r>
        <w:t xml:space="preserve">)</w:t>
      </w:r>
      <w:r>
        <w:t xml:space="preserve">. Use a semicolon to include multiple references</w:t>
      </w:r>
      <w:r>
        <w:t xml:space="preserve"> </w:t>
      </w:r>
      <w:r>
        <w:rPr>
          <w:rStyle w:val="VerbatimChar"/>
        </w:rPr>
        <w:t xml:space="preserve">[@helsel_statistical_2002; @hirsch2010weighted]</w:t>
      </w:r>
      <w:r>
        <w:t xml:space="preserve"> </w:t>
      </w:r>
      <w:r>
        <w:t xml:space="preserve">(</w:t>
      </w:r>
      <w:r>
        <w:rPr>
          <w:bCs/>
          <w:b/>
        </w:rPr>
        <w:t xml:space="preserve">helsel_statistical_2002?</w:t>
      </w:r>
      <w:r>
        <w:t xml:space="preserve">;</w:t>
      </w:r>
      <w:r>
        <w:t xml:space="preserve"> </w:t>
      </w:r>
      <w:r>
        <w:rPr>
          <w:bCs/>
          <w:b/>
        </w:rPr>
        <w:t xml:space="preserve">hirsch2010weighted?</w:t>
      </w:r>
      <w:r>
        <w:t xml:space="preserve">)</w:t>
      </w:r>
      <w:r>
        <w:t xml:space="preserve">. Or we might use</w:t>
      </w:r>
      <w:r>
        <w:t xml:space="preserve"> </w:t>
      </w:r>
      <w:r>
        <w:rPr>
          <w:rStyle w:val="VerbatimChar"/>
        </w:rPr>
        <w:t xml:space="preserve">@helsel_statistical_2002</w:t>
      </w:r>
      <w:r>
        <w:t xml:space="preserve"> </w:t>
      </w:r>
      <w:r>
        <w:t xml:space="preserve">without brackets to indicate</w:t>
      </w:r>
      <w:r>
        <w:t xml:space="preserve"> </w:t>
      </w:r>
      <w:r>
        <w:t xml:space="preserve">(</w:t>
      </w:r>
      <w:r>
        <w:rPr>
          <w:bCs/>
          <w:b/>
        </w:rPr>
        <w:t xml:space="preserve">helsel_statistical_2002?</w:t>
      </w:r>
      <w:r>
        <w:t xml:space="preserve">)</w:t>
      </w:r>
      <w:r>
        <w:t xml:space="preserve"> </w:t>
      </w:r>
      <w:r>
        <w:t xml:space="preserve">provide a fundamental overview of water quality statistics. The bibliography will populate automatically.</w:t>
      </w:r>
    </w:p>
    <w:bookmarkEnd w:id="32"/>
    <w:bookmarkStart w:id="34" w:name="styling-and-fonts"/>
    <w:p>
      <w:pPr>
        <w:pStyle w:val="Heading1"/>
      </w:pPr>
      <w:r>
        <w:t xml:space="preserve">Styling and fonts</w:t>
      </w:r>
    </w:p>
    <w:p>
      <w:pPr>
        <w:pStyle w:val="FirstParagraph"/>
      </w:pPr>
      <w:r>
        <w:t xml:space="preserve">This template uses Minion Pro for body fonts and Open Sans for headings following TWRI brand guidance and AgriLife brand guidance. I can’t bundle Minion Pro in this package because of licensing, but you can download and install both fonts from AgriLife (</w:t>
      </w:r>
      <w:hyperlink r:id="rId33">
        <w:r>
          <w:rPr>
            <w:rStyle w:val="Hyperlink"/>
          </w:rPr>
          <w:t xml:space="preserve">https://agrilife.tamu.edu/wp-content/uploads/2021/03/AgriFonts.zip</w:t>
        </w:r>
      </w:hyperlink>
      <w:r>
        <w:t xml:space="preserve">). I recommend downloading and installing the fonts before knitting your documents. Note that Minion Pro won’t</w:t>
      </w:r>
      <w:r>
        <w:t xml:space="preserve"> </w:t>
      </w:r>
      <w:r>
        <w:t xml:space="preserve">“</w:t>
      </w:r>
      <w:r>
        <w:t xml:space="preserve">embed</w:t>
      </w:r>
      <w:r>
        <w:t xml:space="preserve">”</w:t>
      </w:r>
      <w:r>
        <w:t xml:space="preserve"> </w:t>
      </w:r>
      <w:r>
        <w:t xml:space="preserve">in Word documents because it is an OTF style font and currently Word only embeds TTF fonts. That means collaborators without the font installed on their system will see a different serif font on their system in Word. Once exported to pdf, both OTF and TTF fonts should be embedded correctly.</w:t>
      </w:r>
    </w:p>
    <w:bookmarkEnd w:id="34"/>
    <w:bookmarkStart w:id="61" w:name="bibliography"/>
    <w:p>
      <w:pPr>
        <w:pStyle w:val="Heading1"/>
      </w:pPr>
      <w:r>
        <w:t xml:space="preserve">Bibliography</w:t>
      </w:r>
    </w:p>
    <w:bookmarkStart w:id="60" w:name="refs"/>
    <w:bookmarkStart w:id="37" w:name="X933afeb8202f449a77a0a231e80f2f32cdf12b7"/>
    <w:p>
      <w:pPr>
        <w:pStyle w:val="Bibliography"/>
      </w:pPr>
      <w:r>
        <w:t xml:space="preserve">Beseres Pollack J, Palmer T, Montagna P. 2011. Long-term trends in the response of benthic macrofauna to climate variability in the Lavaca-Colorado Estuary, Texas. Mar Ecol Prog Ser. 436:67–80. doi:</w:t>
      </w:r>
      <w:hyperlink r:id="rId35">
        <w:r>
          <w:rPr>
            <w:rStyle w:val="Hyperlink"/>
          </w:rPr>
          <w:t xml:space="preserve">10.3354/meps09267</w:t>
        </w:r>
      </w:hyperlink>
      <w:r>
        <w:t xml:space="preserve">. [accessed 2022 Nov 11].</w:t>
      </w:r>
      <w:r>
        <w:t xml:space="preserve"> </w:t>
      </w:r>
      <w:hyperlink r:id="rId36">
        <w:r>
          <w:rPr>
            <w:rStyle w:val="Hyperlink"/>
          </w:rPr>
          <w:t xml:space="preserve">http://www.int-res.com/abstracts/meps/v436/p67-80/</w:t>
        </w:r>
      </w:hyperlink>
      <w:r>
        <w:t xml:space="preserve">.</w:t>
      </w:r>
    </w:p>
    <w:bookmarkEnd w:id="37"/>
    <w:bookmarkStart w:id="40" w:name="ref-brickerEffectsNutrientEnrichment2008"/>
    <w:p>
      <w:pPr>
        <w:pStyle w:val="Bibliography"/>
      </w:pPr>
      <w:r>
        <w:t xml:space="preserve">Bricker SB, Longstaff B, Dennison W, Jones A, Boicourt K, Wicks C, Woerner J. 2008. Effects of nutrient enrichment in the nation’s estuaries: A decade of change. Harmful Algae. 8(1):21–32. doi:</w:t>
      </w:r>
      <w:hyperlink r:id="rId38">
        <w:r>
          <w:rPr>
            <w:rStyle w:val="Hyperlink"/>
          </w:rPr>
          <w:t xml:space="preserve">10.1016/j.hal.2008.08.028</w:t>
        </w:r>
      </w:hyperlink>
      <w:r>
        <w:t xml:space="preserve">. [accessed 2022 Apr 5].</w:t>
      </w:r>
      <w:r>
        <w:t xml:space="preserve"> </w:t>
      </w:r>
      <w:hyperlink r:id="rId39">
        <w:r>
          <w:rPr>
            <w:rStyle w:val="Hyperlink"/>
          </w:rPr>
          <w:t xml:space="preserve">https://linkinghub.elsevier.com/retrieve/pii/S1568988308001182</w:t>
        </w:r>
      </w:hyperlink>
      <w:r>
        <w:t xml:space="preserve">.</w:t>
      </w:r>
    </w:p>
    <w:bookmarkEnd w:id="40"/>
    <w:bookmarkStart w:id="43" w:name="ref-bugicaWaterQualityTrends2020"/>
    <w:p>
      <w:pPr>
        <w:pStyle w:val="Bibliography"/>
      </w:pPr>
      <w:r>
        <w:t xml:space="preserve">Bugica K, Sterba-Boatwright B, Wetz MS. 2020. Water quality trends in Texas estuaries. Marine Pollution Bulletin. 152:110903. doi:</w:t>
      </w:r>
      <w:hyperlink r:id="rId41">
        <w:r>
          <w:rPr>
            <w:rStyle w:val="Hyperlink"/>
          </w:rPr>
          <w:t xml:space="preserve">10.1016/j.marpolbul.2020.110903</w:t>
        </w:r>
      </w:hyperlink>
      <w:r>
        <w:t xml:space="preserve">. [accessed 2020 Apr 8].</w:t>
      </w:r>
      <w:r>
        <w:t xml:space="preserve"> </w:t>
      </w:r>
      <w:hyperlink r:id="rId42">
        <w:r>
          <w:rPr>
            <w:rStyle w:val="Hyperlink"/>
          </w:rPr>
          <w:t xml:space="preserve">https://linkinghub.elsevier.com/retrieve/pii/S0025326X20300217</w:t>
        </w:r>
      </w:hyperlink>
      <w:r>
        <w:t xml:space="preserve">.</w:t>
      </w:r>
    </w:p>
    <w:bookmarkEnd w:id="43"/>
    <w:bookmarkStart w:id="46" w:name="ref-cohnValiditySimpleStatistical1992"/>
    <w:p>
      <w:pPr>
        <w:pStyle w:val="Bibliography"/>
      </w:pPr>
      <w:r>
        <w:t xml:space="preserve">Cohn TA, Caulder DL, Gilroy EJ, Zynjuk LD, Summers RM. 1992. The validity of a simple statistical model for estimating fluvial constituent loads: An Empirical study involving nutrient loads entering Chesapeake Bay. Water Resour Res. 28(9):2353–2363. doi:</w:t>
      </w:r>
      <w:hyperlink r:id="rId44">
        <w:r>
          <w:rPr>
            <w:rStyle w:val="Hyperlink"/>
          </w:rPr>
          <w:t xml:space="preserve">10.1029/92WR01008</w:t>
        </w:r>
      </w:hyperlink>
      <w:r>
        <w:t xml:space="preserve">. [accessed 2022 Apr 26].</w:t>
      </w:r>
      <w:r>
        <w:t xml:space="preserve"> </w:t>
      </w:r>
      <w:hyperlink r:id="rId45">
        <w:r>
          <w:rPr>
            <w:rStyle w:val="Hyperlink"/>
          </w:rPr>
          <w:t xml:space="preserve">http://doi.wiley.com/10.1029/92WR01008</w:t>
        </w:r>
      </w:hyperlink>
      <w:r>
        <w:t xml:space="preserve">.</w:t>
      </w:r>
    </w:p>
    <w:bookmarkEnd w:id="46"/>
    <w:bookmarkStart w:id="49" w:name="ref-darbyEffectsEutrophicationSalt2008"/>
    <w:p>
      <w:pPr>
        <w:pStyle w:val="Bibliography"/>
      </w:pPr>
      <w:r>
        <w:t xml:space="preserve">Darby F, Turner R. 2008. Effects of eutrophication on salt marsh root and rhizome biomass accumulation. Mar Ecol Prog Ser. 363:63–70. doi:</w:t>
      </w:r>
      <w:hyperlink r:id="rId47">
        <w:r>
          <w:rPr>
            <w:rStyle w:val="Hyperlink"/>
          </w:rPr>
          <w:t xml:space="preserve">10.3354/meps07423</w:t>
        </w:r>
      </w:hyperlink>
      <w:r>
        <w:t xml:space="preserve">. [accessed 2022 Nov 11].</w:t>
      </w:r>
      <w:r>
        <w:t xml:space="preserve"> </w:t>
      </w:r>
      <w:hyperlink r:id="rId48">
        <w:r>
          <w:rPr>
            <w:rStyle w:val="Hyperlink"/>
          </w:rPr>
          <w:t xml:space="preserve">http://www.int-res.com/abstracts/meps/v363/p63-70/</w:t>
        </w:r>
      </w:hyperlink>
      <w:r>
        <w:t xml:space="preserve">.</w:t>
      </w:r>
    </w:p>
    <w:bookmarkEnd w:id="49"/>
    <w:bookmarkStart w:id="52" w:name="X8278e911248927517ca5c6c85388083cdb7782c"/>
    <w:p>
      <w:pPr>
        <w:pStyle w:val="Bibliography"/>
      </w:pPr>
      <w:r>
        <w:t xml:space="preserve">Heisler J, Glibert PM, Burkholder JM, Anderson DM, Cochlan W, Dennison WC, Dortch Q, Gobler CJ, Heil CA, Humphries E, et al. 2008. Eutrophication and harmful algal blooms: A scientific consensus. Harmful Algae. 8(1):3–13. doi:</w:t>
      </w:r>
      <w:hyperlink r:id="rId50">
        <w:r>
          <w:rPr>
            <w:rStyle w:val="Hyperlink"/>
          </w:rPr>
          <w:t xml:space="preserve">10.1016/j.hal.2008.08.006</w:t>
        </w:r>
      </w:hyperlink>
      <w:r>
        <w:t xml:space="preserve">. [accessed 2022 Nov 11].</w:t>
      </w:r>
      <w:r>
        <w:t xml:space="preserve"> </w:t>
      </w:r>
      <w:hyperlink r:id="rId51">
        <w:r>
          <w:rPr>
            <w:rStyle w:val="Hyperlink"/>
          </w:rPr>
          <w:t xml:space="preserve">https://linkinghub.elsevier.com/retrieve/pii/S1568988308001066</w:t>
        </w:r>
      </w:hyperlink>
      <w:r>
        <w:t xml:space="preserve">.</w:t>
      </w:r>
    </w:p>
    <w:bookmarkEnd w:id="52"/>
    <w:bookmarkStart w:id="55" w:name="ref-hirschWeightedRegressionsTime2010"/>
    <w:p>
      <w:pPr>
        <w:pStyle w:val="Bibliography"/>
      </w:pPr>
      <w:r>
        <w:t xml:space="preserve">Hirsch RM, Moyer DL, Archfield SA. 2010. Weighted Regressions on Time, Discharge, and Season (WRTDS), with an Application to Chesapeake Bay River Inputs1: Weighted Regressions on Time, Discharge, and Season (WRTDS), With an Application to Chesapeake Bay River Inputs. JAWRA Journal of the American Water Resources Association. 46(5):857–880. doi:</w:t>
      </w:r>
      <w:hyperlink r:id="rId53">
        <w:r>
          <w:rPr>
            <w:rStyle w:val="Hyperlink"/>
          </w:rPr>
          <w:t xml:space="preserve">10.1111/j.1752-1688.2010.00482.x</w:t>
        </w:r>
      </w:hyperlink>
      <w:r>
        <w:t xml:space="preserve">. [accessed 2018 Jun 22].</w:t>
      </w:r>
      <w:r>
        <w:t xml:space="preserve"> </w:t>
      </w:r>
      <w:hyperlink r:id="rId54">
        <w:r>
          <w:rPr>
            <w:rStyle w:val="Hyperlink"/>
          </w:rPr>
          <w:t xml:space="preserve">http://doi.wiley.com/10.1111/j.1752-1688.2010.00482.x</w:t>
        </w:r>
      </w:hyperlink>
      <w:r>
        <w:t xml:space="preserve">.</w:t>
      </w:r>
    </w:p>
    <w:bookmarkEnd w:id="55"/>
    <w:bookmarkStart w:id="56" w:name="X0edfcde45eacb493639fc1125510ccb920392e7"/>
    <w:p>
      <w:pPr>
        <w:pStyle w:val="Bibliography"/>
      </w:pPr>
      <w:r>
        <w:t xml:space="preserve">Montagna PA, Cockett PM, Kurr EM, Trungale J. 2020. Assessment of the Relationship Between Freshwater Inflow and Biological Indicators in Lavaca Bay. Corpus Christi, Texas: Harte Research Institute, Texas A&amp;M University-Corpus Christi Final Report to the Texas Water Development Board Report No.: Contract # 1800012268.</w:t>
      </w:r>
    </w:p>
    <w:bookmarkEnd w:id="56"/>
    <w:bookmarkStart w:id="59" w:name="ref-palmerImpactsDroughtsLow2015"/>
    <w:p>
      <w:pPr>
        <w:pStyle w:val="Bibliography"/>
      </w:pPr>
      <w:r>
        <w:t xml:space="preserve">Palmer TA, Montagna PA. 2015. Impacts of droughts and low flows on estuarine water quality and benthic fauna. Hydrobiologia. 753(1):111–129. doi:</w:t>
      </w:r>
      <w:hyperlink r:id="rId57">
        <w:r>
          <w:rPr>
            <w:rStyle w:val="Hyperlink"/>
          </w:rPr>
          <w:t xml:space="preserve">10.1007/s10750-015-2200-x</w:t>
        </w:r>
      </w:hyperlink>
      <w:r>
        <w:t xml:space="preserve">. [accessed 2022 Nov 11].</w:t>
      </w:r>
      <w:r>
        <w:t xml:space="preserve"> </w:t>
      </w:r>
      <w:hyperlink r:id="rId58">
        <w:r>
          <w:rPr>
            <w:rStyle w:val="Hyperlink"/>
          </w:rPr>
          <w:t xml:space="preserve">http://link.springer.com/10.1007/s10750-015-2200-x</w:t>
        </w:r>
      </w:hyperlink>
      <w:r>
        <w:t xml:space="preserve">.</w:t>
      </w:r>
    </w:p>
    <w:bookmarkEnd w:id="59"/>
    <w:bookmarkEnd w:id="60"/>
    <w:p>
      <w:pPr>
        <w:sectPr>
          <w:type w:val="nextPage"/>
          <w:footerReference r:id="rId9" w:type="default"/>
          <w:cols/>
          <w:pgSz w:h="16848" w:w="11952" w:orient="portrait"/>
          <w:pgMar w:header="720" w:bottom="1800" w:top="1800" w:right="720" w:left="720" w:footer="720" w:gutter="720"/>
        </w:sectPr>
      </w:pPr>
    </w:p>
    <w:bookmarkEnd w:id="61"/>
    <w:bookmarkStart w:id="62" w:name="appendix-a"/>
    <w:p>
      <w:pPr>
        <w:pStyle w:val="Heading1"/>
      </w:pPr>
      <w:r>
        <w:t xml:space="preserve">Appendix A</w:t>
      </w:r>
    </w:p>
    <w:p>
      <w:pPr>
        <w:pStyle w:val="FirstParagraph"/>
      </w:pPr>
      <w:r>
        <w:t xml:space="preserve">You can add more info, tables, and figures here.</w:t>
      </w:r>
    </w:p>
    <w:p>
      <w:pPr>
        <w:sectPr>
          <w:type w:val="nextPage"/>
          <w:footerReference r:id="rId9" w:type="default"/>
          <w:cols/>
          <w:pgSz w:h="16848" w:w="11952" w:orient="portrait"/>
          <w:pgMar w:header="720" w:bottom="1800" w:top="1800" w:right="720" w:left="720" w:footer="720" w:gutter="720"/>
        </w:sectPr>
      </w:pPr>
    </w:p>
    <w:bookmarkEnd w:id="62"/>
    <w:sectPr>
      <w:pgMar w:header="720" w:bottom="1800" w:top="1800" w:right="720" w:left="720" w:footer="720" w:gutter="720"/>
      <w:pgSz w:h="16848" w:w="11952" w:orient="portrait"/>
      <w:type w:val="continuous"/>
      <w:cols/>
      <w:footerReference r:id="rId9"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nion Pro">
    <w:panose1 w:val="02040503050306020203"/>
    <w:charset w:val="00"/>
    <w:family w:val="roman"/>
    <w:notTrueType/>
    <w:pitch w:val="variable"/>
    <w:sig w:usb0="E00002AF" w:usb1="5000E07B" w:usb2="00000000"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EB Garamond">
    <w:panose1 w:val="00000000000000000000"/>
    <w:charset w:val="00"/>
    <w:family w:val="auto"/>
    <w:pitch w:val="variable"/>
    <w:sig w:usb0="E00002FF" w:usb1="5201E4F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142197"/>
      <w:docPartObj>
        <w:docPartGallery w:val="Page Numbers (Bottom of Page)"/>
        <w:docPartUnique/>
      </w:docPartObj>
    </w:sdtPr>
    <w:sdtEndPr>
      <w:rPr>
        <w:noProof/>
      </w:rPr>
    </w:sdtEndPr>
    <w:sdtContent>
      <w:p w14:paraId="035A07AC" w14:textId="01ED6CAB" w:rsidR="00B760BE" w:rsidRDefault="00B760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5002B8" w14:textId="77777777" w:rsidR="00013622" w:rsidRDefault="006E33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1728801"/>
      <w:docPartObj>
        <w:docPartGallery w:val="Page Numbers (Bottom of Page)"/>
        <w:docPartUnique/>
      </w:docPartObj>
    </w:sdtPr>
    <w:sdtEndPr>
      <w:rPr>
        <w:noProof/>
      </w:rPr>
    </w:sdtEndPr>
    <w:sdtContent>
      <w:p w14:paraId="0EADC806" w14:textId="7D542DCE" w:rsidR="00B760BE" w:rsidRDefault="00B760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ADF8EF" w14:textId="77777777" w:rsidR="00013622" w:rsidRDefault="006E33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941847"/>
      <w:docPartObj>
        <w:docPartGallery w:val="Page Numbers (Bottom of Page)"/>
        <w:docPartUnique/>
      </w:docPartObj>
    </w:sdtPr>
    <w:sdtEndPr>
      <w:rPr>
        <w:noProof/>
      </w:rPr>
    </w:sdtEndPr>
    <w:sdtContent>
      <w:p w14:paraId="47A0DA66" w14:textId="4596C807" w:rsidR="00B760BE" w:rsidRDefault="00B760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09B905" w14:textId="77777777" w:rsidR="00013622" w:rsidRDefault="006E331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359120"/>
      <w:docPartObj>
        <w:docPartGallery w:val="Page Numbers (Bottom of Page)"/>
        <w:docPartUnique/>
      </w:docPartObj>
    </w:sdtPr>
    <w:sdtEndPr>
      <w:rPr>
        <w:noProof/>
      </w:rPr>
    </w:sdtEndPr>
    <w:sdtContent>
      <w:p w14:paraId="4D69A0BF" w14:textId="77777777" w:rsidR="00013622" w:rsidRDefault="006E331E">
        <w:pPr>
          <w:pStyle w:val="Footer"/>
          <w:jc w:val="center"/>
        </w:pPr>
      </w:p>
    </w:sdtContent>
  </w:sdt>
  <w:p w14:paraId="68489F11" w14:textId="77777777" w:rsidR="00013622" w:rsidRDefault="006E331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440339"/>
      <w:docPartObj>
        <w:docPartGallery w:val="Page Numbers (Bottom of Page)"/>
        <w:docPartUnique/>
      </w:docPartObj>
    </w:sdtPr>
    <w:sdtEndPr>
      <w:rPr>
        <w:noProof/>
      </w:rPr>
    </w:sdtEndPr>
    <w:sdtContent>
      <w:p w14:paraId="5DAEF0E2" w14:textId="77777777" w:rsidR="00013622" w:rsidRDefault="006E331E">
        <w:pPr>
          <w:pStyle w:val="Footer"/>
          <w:jc w:val="center"/>
        </w:pPr>
      </w:p>
    </w:sdtContent>
  </w:sdt>
  <w:p w14:paraId="1B5BF98D" w14:textId="77777777" w:rsidR="00013622" w:rsidRDefault="006E331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963766"/>
      <w:docPartObj>
        <w:docPartGallery w:val="Page Numbers (Bottom of Page)"/>
        <w:docPartUnique/>
      </w:docPartObj>
    </w:sdtPr>
    <w:sdtEndPr>
      <w:rPr>
        <w:noProof/>
      </w:rPr>
    </w:sdtEndPr>
    <w:sdtContent>
      <w:p w14:paraId="1E5797FF" w14:textId="336CC59C" w:rsidR="00B760BE" w:rsidRDefault="00B760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DDAAF5" w14:textId="77777777" w:rsidR="00013622" w:rsidRDefault="006E331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FC873C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96A8F3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B0A67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7B8E35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584650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3BACD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770353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C28345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6B6D6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37E724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AD12FF4"/>
    <w:multiLevelType w:val="multilevel"/>
    <w:tmpl w:val="04090027"/>
    <w:lvl w:ilvl="0">
      <w:start w:val="1"/>
      <w:numFmt w:val="upperRoman"/>
      <w:lvlText w:val="%1."/>
      <w:lvlJc w:val="left"/>
      <w:pPr>
        <w:ind w:firstLine="0" w:left="0"/>
      </w:pPr>
    </w:lvl>
    <w:lvl w:ilvl="1">
      <w:start w:val="1"/>
      <w:numFmt w:val="upperLetter"/>
      <w:lvlText w:val="%2."/>
      <w:lvlJc w:val="left"/>
      <w:pPr>
        <w:ind w:firstLine="0" w:left="720"/>
      </w:pPr>
    </w:lvl>
    <w:lvl w:ilvl="2">
      <w:start w:val="1"/>
      <w:numFmt w:val="decimal"/>
      <w:lvlText w:val="%3."/>
      <w:lvlJc w:val="left"/>
      <w:pPr>
        <w:ind w:firstLine="0" w:left="1440"/>
      </w:pPr>
    </w:lvl>
    <w:lvl w:ilvl="3">
      <w:start w:val="1"/>
      <w:numFmt w:val="lowerLetter"/>
      <w:lvlText w:val="%4)"/>
      <w:lvlJc w:val="left"/>
      <w:pPr>
        <w:ind w:firstLine="0" w:left="2160"/>
      </w:pPr>
    </w:lvl>
    <w:lvl w:ilvl="4">
      <w:start w:val="1"/>
      <w:numFmt w:val="decimal"/>
      <w:lvlText w:val="(%5)"/>
      <w:lvlJc w:val="left"/>
      <w:pPr>
        <w:ind w:firstLine="0" w:left="2880"/>
      </w:pPr>
    </w:lvl>
    <w:lvl w:ilvl="5">
      <w:start w:val="1"/>
      <w:numFmt w:val="lowerLetter"/>
      <w:lvlText w:val="(%6)"/>
      <w:lvlJc w:val="left"/>
      <w:pPr>
        <w:ind w:firstLine="0" w:left="3600"/>
      </w:pPr>
    </w:lvl>
    <w:lvl w:ilvl="6">
      <w:start w:val="1"/>
      <w:numFmt w:val="lowerRoman"/>
      <w:lvlText w:val="(%7)"/>
      <w:lvlJc w:val="left"/>
      <w:pPr>
        <w:ind w:firstLine="0" w:left="4320"/>
      </w:pPr>
    </w:lvl>
    <w:lvl w:ilvl="7">
      <w:start w:val="1"/>
      <w:numFmt w:val="lowerLetter"/>
      <w:lvlText w:val="(%8)"/>
      <w:lvlJc w:val="left"/>
      <w:pPr>
        <w:ind w:firstLine="0" w:left="5040"/>
      </w:pPr>
    </w:lvl>
    <w:lvl w:ilvl="8">
      <w:start w:val="1"/>
      <w:numFmt w:val="lowerRoman"/>
      <w:lvlText w:val="(%9)"/>
      <w:lvlJc w:val="left"/>
      <w:pPr>
        <w:ind w:firstLine="0" w:left="5760"/>
      </w:pPr>
    </w:lvl>
  </w:abstractNum>
  <w:abstractNum w15:restartNumberingAfterBreak="0" w:abstractNumId="11">
    <w:nsid w:val="2C1AE401"/>
    <w:multiLevelType w:val="multilevel"/>
    <w:tmpl w:val="CB96CA3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4116266A"/>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5FB72FC8"/>
    <w:multiLevelType w:val="multilevel"/>
    <w:tmpl w:val="8FB2029A"/>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1"/>
  </w:num>
  <w:num w:numId="14">
    <w:abstractNumId w:val="12"/>
  </w:num>
  <w:num w:numId="15">
    <w:abstractNumId w:val="13"/>
  </w:num>
  <w:num w:numId="16">
    <w:abstractNumId w:val="10"/>
  </w:num>
  <w:num w:numId="17">
    <w:abstractNumId w:val="11"/>
  </w:num>
  <w:num w:numId="18">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B54E4"/>
    <w:rPr>
      <w:rFonts w:ascii="Minion Pro" w:hAnsi="Minion Pro"/>
    </w:rPr>
  </w:style>
  <w:style w:styleId="Heading1" w:type="paragraph">
    <w:name w:val="heading 1"/>
    <w:basedOn w:val="Normal"/>
    <w:next w:val="BodyText"/>
    <w:uiPriority w:val="9"/>
    <w:qFormat/>
    <w:rsid w:val="00B760BE"/>
    <w:pPr>
      <w:keepNext/>
      <w:keepLines/>
      <w:spacing w:after="0" w:before="480"/>
      <w:outlineLvl w:val="0"/>
    </w:pPr>
    <w:rPr>
      <w:rFonts w:ascii="Open Sans Semibold" w:cstheme="majorBidi" w:eastAsiaTheme="majorEastAsia" w:hAnsi="Open Sans Semibold"/>
      <w:bCs/>
      <w:sz w:val="32"/>
      <w:szCs w:val="32"/>
    </w:rPr>
  </w:style>
  <w:style w:styleId="Heading2" w:type="paragraph">
    <w:name w:val="heading 2"/>
    <w:basedOn w:val="Normal"/>
    <w:next w:val="BodyText"/>
    <w:uiPriority w:val="9"/>
    <w:unhideWhenUsed/>
    <w:qFormat/>
    <w:rsid w:val="00B760BE"/>
    <w:pPr>
      <w:keepNext/>
      <w:keepLines/>
      <w:spacing w:after="0" w:before="200"/>
      <w:outlineLvl w:val="1"/>
    </w:pPr>
    <w:rPr>
      <w:rFonts w:asciiTheme="majorHAnsi" w:cstheme="majorBidi" w:eastAsiaTheme="majorEastAsia" w:hAnsiTheme="majorHAnsi"/>
      <w:bCs/>
      <w:szCs w:val="32"/>
    </w:rPr>
  </w:style>
  <w:style w:styleId="Heading3" w:type="paragraph">
    <w:name w:val="heading 3"/>
    <w:basedOn w:val="Normal"/>
    <w:next w:val="BodyText"/>
    <w:uiPriority w:val="9"/>
    <w:unhideWhenUsed/>
    <w:qFormat/>
    <w:rsid w:val="00B760BE"/>
    <w:pPr>
      <w:keepNext/>
      <w:keepLines/>
      <w:spacing w:after="0" w:before="200"/>
      <w:outlineLvl w:val="2"/>
    </w:pPr>
    <w:rPr>
      <w:rFonts w:asciiTheme="majorHAnsi" w:cstheme="majorBidi" w:eastAsiaTheme="majorEastAsia" w:hAnsiTheme="majorHAnsi"/>
      <w:bCs/>
      <w:sz w:val="20"/>
      <w:szCs w:val="28"/>
    </w:rPr>
  </w:style>
  <w:style w:styleId="Heading4" w:type="paragraph">
    <w:name w:val="heading 4"/>
    <w:basedOn w:val="Normal"/>
    <w:next w:val="BodyText"/>
    <w:uiPriority w:val="9"/>
    <w:unhideWhenUsed/>
    <w:qFormat/>
    <w:rsid w:val="00C634DF"/>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C634DF"/>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rsid w:val="00C634DF"/>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C634DF"/>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C634DF"/>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rsid w:val="00C634DF"/>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65F74"/>
    <w:pPr>
      <w:spacing w:after="180" w:before="180" w:line="288" w:lineRule="auto"/>
    </w:pPr>
  </w:style>
  <w:style w:customStyle="1" w:styleId="FirstParagraph" w:type="paragraph">
    <w:name w:val="First Paragraph"/>
    <w:basedOn w:val="BodyText"/>
    <w:next w:val="BodyText"/>
    <w:qFormat/>
    <w:rsid w:val="00E65F74"/>
  </w:style>
  <w:style w:customStyle="1" w:styleId="Compact" w:type="paragraph">
    <w:name w:val="Compact"/>
    <w:basedOn w:val="BodyText"/>
    <w:qFormat/>
    <w:rsid w:val="00E65F74"/>
    <w:pPr>
      <w:spacing w:after="36" w:before="36" w:line="240" w:lineRule="auto"/>
    </w:pPr>
    <w:rPr>
      <w:sz w:val="20"/>
    </w:rPr>
  </w:style>
  <w:style w:styleId="Title" w:type="paragraph">
    <w:name w:val="Title"/>
    <w:basedOn w:val="Normal"/>
    <w:next w:val="BodyText"/>
    <w:qFormat/>
    <w:rsid w:val="00B760BE"/>
    <w:pPr>
      <w:keepNext/>
      <w:keepLines/>
      <w:spacing w:after="240" w:before="480"/>
      <w:jc w:val="center"/>
    </w:pPr>
    <w:rPr>
      <w:rFonts w:ascii="Open Sans Semibold" w:cstheme="majorBidi" w:eastAsiaTheme="majorEastAsia" w:hAnsi="Open Sans Semibold"/>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0B54E4"/>
    <w:pPr>
      <w:keepNext/>
      <w:keepLines/>
      <w:spacing w:after="0"/>
    </w:pPr>
    <w:rPr>
      <w:rFonts w:ascii="Minion Pro" w:hAnsi="Minion Pro"/>
    </w:rPr>
  </w:style>
  <w:style w:styleId="Date" w:type="paragraph">
    <w:name w:val="Date"/>
    <w:next w:val="BodyText"/>
    <w:qFormat/>
    <w:rsid w:val="000B54E4"/>
    <w:pPr>
      <w:keepNext/>
      <w:keepLines/>
    </w:pPr>
    <w:rPr>
      <w:rFonts w:ascii="Minion Pro" w:hAnsi="Minion Pro"/>
    </w:rPr>
  </w:style>
  <w:style w:customStyle="1" w:styleId="Abstract" w:type="paragraph">
    <w:name w:val="Abstract"/>
    <w:basedOn w:val="Normal"/>
    <w:next w:val="BodyText"/>
    <w:qFormat/>
    <w:rsid w:val="00B040DC"/>
    <w:pPr>
      <w:keepNext/>
      <w:keepLines/>
      <w:spacing w:after="300" w:before="300"/>
    </w:pPr>
    <w:rPr>
      <w:sz w:val="22"/>
      <w:szCs w:val="20"/>
    </w:rPr>
  </w:style>
  <w:style w:styleId="Bibliography" w:type="paragraph">
    <w:name w:val="Bibliography"/>
    <w:basedOn w:val="Normal"/>
    <w:qFormat/>
    <w:rsid w:val="00B040DC"/>
    <w:pPr>
      <w:ind w:hanging="288" w:left="288"/>
    </w:p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B040DC"/>
    <w:pPr>
      <w:spacing w:after="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26631"/>
    <w:pPr>
      <w:keepNext/>
      <w:jc w:val="center"/>
    </w:pPr>
    <w:rPr>
      <w:i w:val="0"/>
      <w:sz w:val="20"/>
    </w:rPr>
  </w:style>
  <w:style w:customStyle="1" w:styleId="ImageCaption" w:type="paragraph">
    <w:name w:val="Image Caption"/>
    <w:basedOn w:val="Caption"/>
    <w:rsid w:val="00926631"/>
    <w:pPr>
      <w:jc w:val="center"/>
    </w:pPr>
    <w:rPr>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unhideWhenUsed/>
    <w:rsid w:val="00394FF1"/>
    <w:rPr>
      <w:rFonts w:ascii="Arial" w:hAnsi="Arial"/>
      <w:sz w:val="20"/>
    </w:rPr>
  </w:style>
  <w:style w:customStyle="1" w:styleId="BodyTextChar" w:type="character">
    <w:name w:val="Body Text Char"/>
    <w:basedOn w:val="DefaultParagraphFont"/>
    <w:link w:val="BodyText"/>
    <w:rsid w:val="00E65F74"/>
    <w:rPr>
      <w:rFonts w:ascii="EB Garamond" w:hAnsi="EB Garamond"/>
    </w:rPr>
  </w:style>
  <w:style w:styleId="Header" w:type="paragraph">
    <w:name w:val="header"/>
    <w:basedOn w:val="Normal"/>
    <w:link w:val="HeaderChar"/>
    <w:unhideWhenUsed/>
    <w:rsid w:val="00437DBF"/>
    <w:pPr>
      <w:tabs>
        <w:tab w:pos="4680" w:val="center"/>
        <w:tab w:pos="9360" w:val="right"/>
      </w:tabs>
      <w:spacing w:after="0"/>
    </w:pPr>
    <w:rPr>
      <w:sz w:val="20"/>
    </w:rPr>
  </w:style>
  <w:style w:customStyle="1" w:styleId="HeaderChar" w:type="character">
    <w:name w:val="Header Char"/>
    <w:basedOn w:val="DefaultParagraphFont"/>
    <w:link w:val="Header"/>
    <w:rsid w:val="00437DBF"/>
    <w:rPr>
      <w:rFonts w:ascii="EB Garamond" w:hAnsi="EB Garamond"/>
      <w:sz w:val="20"/>
    </w:rPr>
  </w:style>
  <w:style w:styleId="Footer" w:type="paragraph">
    <w:name w:val="footer"/>
    <w:basedOn w:val="Normal"/>
    <w:link w:val="FooterChar"/>
    <w:uiPriority w:val="99"/>
    <w:unhideWhenUsed/>
    <w:rsid w:val="00B760BE"/>
    <w:pPr>
      <w:tabs>
        <w:tab w:pos="4680" w:val="center"/>
        <w:tab w:pos="9360" w:val="right"/>
      </w:tabs>
      <w:spacing w:after="0"/>
    </w:pPr>
    <w:rPr>
      <w:rFonts w:asciiTheme="majorHAnsi" w:hAnsiTheme="majorHAnsi"/>
      <w:sz w:val="18"/>
    </w:rPr>
  </w:style>
  <w:style w:customStyle="1" w:styleId="FooterChar" w:type="character">
    <w:name w:val="Footer Char"/>
    <w:basedOn w:val="DefaultParagraphFont"/>
    <w:link w:val="Footer"/>
    <w:uiPriority w:val="99"/>
    <w:rsid w:val="00B760BE"/>
    <w:rPr>
      <w:rFonts w:asciiTheme="majorHAnsi" w:hAnsiTheme="majorHAnsi"/>
      <w:sz w:val="18"/>
    </w:rPr>
  </w:style>
  <w:style w:styleId="PlaceholderText" w:type="character">
    <w:name w:val="Placeholder Text"/>
    <w:basedOn w:val="DefaultParagraphFont"/>
    <w:semiHidden/>
    <w:rsid w:val="00CA4C83"/>
    <w:rPr>
      <w:color w:val="808080"/>
    </w:rPr>
  </w:style>
  <w:style w:styleId="TOC1" w:type="paragraph">
    <w:name w:val="toc 1"/>
    <w:basedOn w:val="Normal"/>
    <w:next w:val="Normal"/>
    <w:autoRedefine/>
    <w:uiPriority w:val="39"/>
    <w:unhideWhenUsed/>
    <w:rsid w:val="00D46F37"/>
    <w:pPr>
      <w:spacing w:after="100"/>
    </w:pPr>
  </w:style>
  <w:style w:styleId="TOC2" w:type="paragraph">
    <w:name w:val="toc 2"/>
    <w:basedOn w:val="Normal"/>
    <w:next w:val="Normal"/>
    <w:autoRedefine/>
    <w:uiPriority w:val="39"/>
    <w:unhideWhenUsed/>
    <w:rsid w:val="00D46F37"/>
    <w:pPr>
      <w:spacing w:after="100"/>
      <w:ind w:left="240"/>
    </w:pPr>
  </w:style>
  <w:style w:styleId="TOC3" w:type="paragraph">
    <w:name w:val="toc 3"/>
    <w:basedOn w:val="Normal"/>
    <w:next w:val="Normal"/>
    <w:autoRedefine/>
    <w:uiPriority w:val="39"/>
    <w:unhideWhenUsed/>
    <w:rsid w:val="00D46F37"/>
    <w:pPr>
      <w:spacing w:after="100"/>
      <w:ind w:left="480"/>
    </w:pPr>
  </w:style>
  <w:style w:customStyle="1" w:styleId="UnnumberedHeading1" w:type="paragraph">
    <w:name w:val="Unnumbered Heading 1"/>
    <w:basedOn w:val="Heading1"/>
    <w:qFormat/>
    <w:rsid w:val="00D265C5"/>
  </w:style>
  <w:style w:styleId="TableofFigures" w:type="paragraph">
    <w:name w:val="table of figures"/>
    <w:basedOn w:val="Normal"/>
    <w:next w:val="Normal"/>
    <w:uiPriority w:val="99"/>
    <w:unhideWhenUsed/>
    <w:rsid w:val="004D0D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23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10" Type="http://schemas.openxmlformats.org/officeDocument/2006/relationships/footer" Target="footer4.xml"/>
<Relationship Id="rId11" Type="http://schemas.openxmlformats.org/officeDocument/2006/relationships/footer" Target="footer3.xml"/>
<Relationship Id="rId12" Type="http://schemas.openxmlformats.org/officeDocument/2006/relationships/footer" Target="footer6.xml"/>
<Relationship Id="rId13" Type="http://schemas.openxmlformats.org/officeDocument/2006/relationships/footer" Target="footer2.xml"/>
<Relationship Id="rId14" Type="http://schemas.openxmlformats.org/officeDocument/2006/relationships/footer" Target="footer5.xml"/>
<Relationship Id="rId20" Type="http://schemas.openxmlformats.org/officeDocument/2006/relationships/image" Target="media/rId20.png"/>
<Relationship Id="rId45" Type="http://schemas.openxmlformats.org/officeDocument/2006/relationships/hyperlink" Target="http://doi.wiley.com/10.1029/92WR01008" TargetMode="External"/>
<Relationship Id="rId54" Type="http://schemas.openxmlformats.org/officeDocument/2006/relationships/hyperlink" Target="http://doi.wiley.com/10.1111/j.1752-1688.2010.00482.x" TargetMode="External"/>
<Relationship Id="rId58" Type="http://schemas.openxmlformats.org/officeDocument/2006/relationships/hyperlink" Target="http://link.springer.com/10.1007/s10750-015-2200-x" TargetMode="External"/>
<Relationship Id="rId48" Type="http://schemas.openxmlformats.org/officeDocument/2006/relationships/hyperlink" Target="http://www.int-res.com/abstracts/meps/v363/p63-70/" TargetMode="External"/>
<Relationship Id="rId36" Type="http://schemas.openxmlformats.org/officeDocument/2006/relationships/hyperlink" Target="http://www.int-res.com/abstracts/meps/v436/p67-80/" TargetMode="External"/>
<Relationship Id="rId33" Type="http://schemas.openxmlformats.org/officeDocument/2006/relationships/hyperlink" Target="https://agrilife.tamu.edu/wp-content/uploads/2021/03/AgriFonts.zip" TargetMode="External"/>
<Relationship Id="rId27" Type="http://schemas.openxmlformats.org/officeDocument/2006/relationships/hyperlink" Target="https://davidgohel.github.io/flextable/" TargetMode="External"/>
<Relationship Id="rId57" Type="http://schemas.openxmlformats.org/officeDocument/2006/relationships/hyperlink" Target="https://doi.org/10.1007/s10750-015-2200-x" TargetMode="External"/>
<Relationship Id="rId50" Type="http://schemas.openxmlformats.org/officeDocument/2006/relationships/hyperlink" Target="https://doi.org/10.1016/j.hal.2008.08.006" TargetMode="External"/>
<Relationship Id="rId38" Type="http://schemas.openxmlformats.org/officeDocument/2006/relationships/hyperlink" Target="https://doi.org/10.1016/j.hal.2008.08.028" TargetMode="External"/>
<Relationship Id="rId41" Type="http://schemas.openxmlformats.org/officeDocument/2006/relationships/hyperlink" Target="https://doi.org/10.1016/j.marpolbul.2020.110903" TargetMode="External"/>
<Relationship Id="rId44" Type="http://schemas.openxmlformats.org/officeDocument/2006/relationships/hyperlink" Target="https://doi.org/10.1029/92WR01008" TargetMode="External"/>
<Relationship Id="rId53" Type="http://schemas.openxmlformats.org/officeDocument/2006/relationships/hyperlink" Target="https://doi.org/10.1111/j.1752-1688.2010.00482.x" TargetMode="External"/>
<Relationship Id="rId47" Type="http://schemas.openxmlformats.org/officeDocument/2006/relationships/hyperlink" Target="https://doi.org/10.3354/meps07423" TargetMode="External"/>
<Relationship Id="rId35" Type="http://schemas.openxmlformats.org/officeDocument/2006/relationships/hyperlink" Target="https://doi.org/10.3354/meps09267" TargetMode="External"/>
<Relationship Id="rId42" Type="http://schemas.openxmlformats.org/officeDocument/2006/relationships/hyperlink" Target="https://linkinghub.elsevier.com/retrieve/pii/S0025326X20300217" TargetMode="External"/>
<Relationship Id="rId51" Type="http://schemas.openxmlformats.org/officeDocument/2006/relationships/hyperlink" Target="https://linkinghub.elsevier.com/retrieve/pii/S1568988308001066" TargetMode="External"/>
<Relationship Id="rId39" Type="http://schemas.openxmlformats.org/officeDocument/2006/relationships/hyperlink" Target="https://linkinghub.elsevier.com/retrieve/pii/S1568988308001182" TargetMode="External"/>
<Relationship Id="rId59" Type="http://schemas.openxmlformats.org/officeDocument/2006/relationships/image" Target="media/file563c50759ac.png"/>
<Relationship Id="rId60" Type="http://schemas.openxmlformats.org/officeDocument/2006/relationships/image" Target="media/file563c459f35c1.png"/>
</Relationships>

</file>

<file path=word/_rels/footnotes.xml.rels><?xml version="1.0" encoding="UTF-8" standalone="yes"?>

<Relationships  xmlns="http://schemas.openxmlformats.org/package/2006/relationships">
<Relationship Id="rId45" Type="http://schemas.openxmlformats.org/officeDocument/2006/relationships/hyperlink" Target="http://doi.wiley.com/10.1029/92WR01008" TargetMode="External"/>
<Relationship Id="rId54" Type="http://schemas.openxmlformats.org/officeDocument/2006/relationships/hyperlink" Target="http://doi.wiley.com/10.1111/j.1752-1688.2010.00482.x" TargetMode="External"/>
<Relationship Id="rId58" Type="http://schemas.openxmlformats.org/officeDocument/2006/relationships/hyperlink" Target="http://link.springer.com/10.1007/s10750-015-2200-x" TargetMode="External"/>
<Relationship Id="rId48" Type="http://schemas.openxmlformats.org/officeDocument/2006/relationships/hyperlink" Target="http://www.int-res.com/abstracts/meps/v363/p63-70/" TargetMode="External"/>
<Relationship Id="rId36" Type="http://schemas.openxmlformats.org/officeDocument/2006/relationships/hyperlink" Target="http://www.int-res.com/abstracts/meps/v436/p67-80/" TargetMode="External"/>
<Relationship Id="rId33" Type="http://schemas.openxmlformats.org/officeDocument/2006/relationships/hyperlink" Target="https://agrilife.tamu.edu/wp-content/uploads/2021/03/AgriFonts.zip" TargetMode="External"/>
<Relationship Id="rId27" Type="http://schemas.openxmlformats.org/officeDocument/2006/relationships/hyperlink" Target="https://davidgohel.github.io/flextable/" TargetMode="External"/>
<Relationship Id="rId57" Type="http://schemas.openxmlformats.org/officeDocument/2006/relationships/hyperlink" Target="https://doi.org/10.1007/s10750-015-2200-x" TargetMode="External"/>
<Relationship Id="rId50" Type="http://schemas.openxmlformats.org/officeDocument/2006/relationships/hyperlink" Target="https://doi.org/10.1016/j.hal.2008.08.006" TargetMode="External"/>
<Relationship Id="rId38" Type="http://schemas.openxmlformats.org/officeDocument/2006/relationships/hyperlink" Target="https://doi.org/10.1016/j.hal.2008.08.028" TargetMode="External"/>
<Relationship Id="rId41" Type="http://schemas.openxmlformats.org/officeDocument/2006/relationships/hyperlink" Target="https://doi.org/10.1016/j.marpolbul.2020.110903" TargetMode="External"/>
<Relationship Id="rId44" Type="http://schemas.openxmlformats.org/officeDocument/2006/relationships/hyperlink" Target="https://doi.org/10.1029/92WR01008" TargetMode="External"/>
<Relationship Id="rId53" Type="http://schemas.openxmlformats.org/officeDocument/2006/relationships/hyperlink" Target="https://doi.org/10.1111/j.1752-1688.2010.00482.x" TargetMode="External"/>
<Relationship Id="rId47" Type="http://schemas.openxmlformats.org/officeDocument/2006/relationships/hyperlink" Target="https://doi.org/10.3354/meps07423" TargetMode="External"/>
<Relationship Id="rId35" Type="http://schemas.openxmlformats.org/officeDocument/2006/relationships/hyperlink" Target="https://doi.org/10.3354/meps09267" TargetMode="External"/>
<Relationship Id="rId42" Type="http://schemas.openxmlformats.org/officeDocument/2006/relationships/hyperlink" Target="https://linkinghub.elsevier.com/retrieve/pii/S0025326X20300217" TargetMode="External"/>
<Relationship Id="rId51" Type="http://schemas.openxmlformats.org/officeDocument/2006/relationships/hyperlink" Target="https://linkinghub.elsevier.com/retrieve/pii/S1568988308001066" TargetMode="External"/>
<Relationship Id="rId39" Type="http://schemas.openxmlformats.org/officeDocument/2006/relationships/hyperlink" Target="https://linkinghub.elsevier.com/retrieve/pii/S15689883080011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Open Sans"/>
        <a:ea typeface=""/>
        <a:cs typeface=""/>
      </a:majorFont>
      <a:minorFont>
        <a:latin typeface="Minion Pr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Total Maximum Daily Loads and Escherichia coli trends in Texas freshwater streams</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Texas Coastal Nutrient Input Repository - Task 3 Report</dc:title>
  <dc:creator>Michael Schramm 1; 1 Research Specialist, Texas Water Resources Institute, Texas A&amp;M AgriLife Research</dc:creator>
  <cp:keywords/>
  <dcterms:created xsi:type="dcterms:W3CDTF">2022-11-11T22:11:30Z</dcterms:created>
  <dcterms:modified xsi:type="dcterms:W3CDTF">2022-11-11T16:11:30Z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bibliography.yaml</vt:lpwstr>
  </property>
  <property fmtid="{D5CDD505-2E9C-101B-9397-08002B2CF9AE}" pid="3" name="csl">
    <vt:lpwstr>council-of-science-editors-author-date.csl</vt:lpwstr>
  </property>
  <property fmtid="{D5CDD505-2E9C-101B-9397-08002B2CF9AE}" pid="4" name="date">
    <vt:lpwstr>December 1, 2021</vt:lpwstr>
  </property>
  <property fmtid="{D5CDD505-2E9C-101B-9397-08002B2CF9AE}" pid="5" name="output">
    <vt:lpwstr/>
  </property>
</Properties>
</file>