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6.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media/rId20.png" ContentType="image/png"/>
  <Override PartName="/word/media/image1.png" ContentType="image/png"/>
  <Override PartName="/word/media/image2.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Texas</w:t>
      </w:r>
      <w:r>
        <w:t xml:space="preserve"> </w:t>
      </w:r>
      <w:r>
        <w:t xml:space="preserve">Coastal</w:t>
      </w:r>
      <w:r>
        <w:t xml:space="preserve"> </w:t>
      </w:r>
      <w:r>
        <w:t xml:space="preserve">Nutrient</w:t>
      </w:r>
      <w:r>
        <w:t xml:space="preserve"> </w:t>
      </w:r>
      <w:r>
        <w:t xml:space="preserve">Input</w:t>
      </w:r>
      <w:r>
        <w:t xml:space="preserve"> </w:t>
      </w:r>
      <w:r>
        <w:t xml:space="preserve">Repository</w:t>
      </w:r>
      <w:r>
        <w:t xml:space="preserve"> </w:t>
      </w:r>
      <w:r>
        <w:t xml:space="preserve">-</w:t>
      </w:r>
      <w:r>
        <w:t xml:space="preserve"> </w:t>
      </w:r>
      <w:r>
        <w:t xml:space="preserve">Task</w:t>
      </w:r>
      <w:r>
        <w:t xml:space="preserve"> </w:t>
      </w:r>
      <w:r>
        <w:t xml:space="preserve">3</w:t>
      </w:r>
      <w:r>
        <w:t xml:space="preserve"> </w:t>
      </w:r>
      <w:r>
        <w:t xml:space="preserve">Report</w:t>
      </w:r>
    </w:p>
    <w:p>
      <w:pPr>
        <w:pStyle w:val="Author"/>
      </w:pPr>
      <w:r>
        <w:t xml:space="preserve">Michael</w:t>
      </w:r>
      <w:r>
        <w:t xml:space="preserve"> </w:t>
      </w:r>
      <w:r>
        <w:t xml:space="preserve">Schramm</w:t>
      </w:r>
      <w:r>
        <w:t xml:space="preserve"> </w:t>
      </w:r>
      <w:r>
        <w:rPr>
          <w:vertAlign w:val="superscript"/>
        </w:rPr>
        <w:t xml:space="preserve">1</w:t>
      </w:r>
    </w:p>
    <w:p>
      <w:pPr>
        <w:pStyle w:val="Author"/>
      </w:pPr>
      <w:r>
        <w:rPr>
          <w:vertAlign w:val="superscript"/>
        </w:rPr>
        <w:t xml:space="preserve">1</w:t>
      </w:r>
      <w:r>
        <w:t xml:space="preserve"> </w:t>
      </w:r>
      <w:r>
        <w:t xml:space="preserve">Research</w:t>
      </w:r>
      <w:r>
        <w:t xml:space="preserve"> </w:t>
      </w:r>
      <w:r>
        <w:t xml:space="preserve">Specialist,</w:t>
      </w:r>
      <w:r>
        <w:t xml:space="preserve"> </w:t>
      </w:r>
      <w:r>
        <w:t xml:space="preserve">Texas</w:t>
      </w:r>
      <w:r>
        <w:t xml:space="preserve"> </w:t>
      </w:r>
      <w:r>
        <w:t xml:space="preserve">Water</w:t>
      </w:r>
      <w:r>
        <w:t xml:space="preserve"> </w:t>
      </w:r>
      <w:r>
        <w:t xml:space="preserve">Resources</w:t>
      </w:r>
      <w:r>
        <w:t xml:space="preserve"> </w:t>
      </w:r>
      <w:r>
        <w:t xml:space="preserve">Institute,</w:t>
      </w:r>
      <w:r>
        <w:t xml:space="preserve"> </w:t>
      </w:r>
      <w:r>
        <w:t xml:space="preserve">Texas</w:t>
      </w:r>
      <w:r>
        <w:t xml:space="preserve"> </w:t>
      </w:r>
      <w:r>
        <w:t xml:space="preserve">A&amp;M</w:t>
      </w:r>
      <w:r>
        <w:t xml:space="preserve"> </w:t>
      </w:r>
      <w:r>
        <w:t xml:space="preserve">AgriLife</w:t>
      </w:r>
      <w:r>
        <w:t xml:space="preserve"> </w:t>
      </w:r>
      <w:r>
        <w:t xml:space="preserve">Research</w:t>
      </w:r>
    </w:p>
    <w:p>
      <w:pPr>
        <w:pStyle w:val="Date"/>
      </w:pPr>
      <w:r>
        <w:t xml:space="preserve">December</w:t>
      </w:r>
      <w:r>
        <w:t xml:space="preserve"> </w:t>
      </w:r>
      <w:r>
        <w:t xml:space="preserve">1,</w:t>
      </w:r>
      <w:r>
        <w:t xml:space="preserve"> </w:t>
      </w:r>
      <w:r>
        <w:t xml:space="preserve">2021</w:t>
      </w:r>
    </w:p>
    <w:p>
      <w:pPr>
        <w:pStyle w:val="FirstParagraph"/>
      </w:pPr>
      <w:r>
        <w:t xml:space="preserve">Texas Water Resources Institute</w:t>
      </w:r>
    </w:p>
    <w:p>
      <w:pPr>
        <w:pStyle w:val="BodyText"/>
      </w:pPr>
      <w:r>
        <w:t xml:space="preserve">Texas A&amp;M Agrilife</w:t>
      </w:r>
    </w:p>
    <w:p>
      <w:pPr>
        <w:pStyle w:val="BodyText"/>
      </w:pPr>
      <w:r>
        <w:t xml:space="preserve">College Station, TX</w:t>
      </w:r>
    </w:p>
    <w:p>
      <w:pPr>
        <w:pStyle w:val="BodyText"/>
      </w:pPr>
      <w:r>
        <w:drawing>
          <wp:inline>
            <wp:extent cx="5943600" cy="716342"/>
            <wp:effectExtent b="0" l="0" r="0" t="0"/>
            <wp:docPr descr="" title="" id="1" name="Picture"/>
            <a:graphic>
              <a:graphicData uri="http://schemas.openxmlformats.org/drawingml/2006/picture">
                <pic:pic>
                  <pic:nvPicPr>
                    <pic:cNvPr descr="combined-logo.png" id="2" name="Picture"/>
                    <pic:cNvPicPr>
                      <a:picLocks noChangeArrowheads="1" noChangeAspect="1"/>
                    </pic:cNvPicPr>
                  </pic:nvPicPr>
                  <pic:blipFill>
                    <a:blip r:embed="rId20"/>
                    <a:stretch>
                      <a:fillRect/>
                    </a:stretch>
                  </pic:blipFill>
                  <pic:spPr bwMode="auto">
                    <a:xfrm>
                      <a:off x="0" y="0"/>
                      <a:ext cx="5943600" cy="716342"/>
                    </a:xfrm>
                    <a:prstGeom prst="rect">
                      <a:avLst/>
                    </a:prstGeom>
                    <a:noFill/>
                    <a:ln w="9525">
                      <a:noFill/>
                      <a:headEnd/>
                      <a:tailEnd/>
                    </a:ln>
                  </pic:spPr>
                </pic:pic>
              </a:graphicData>
            </a:graphic>
          </wp:inline>
        </w:drawing>
      </w:r>
    </w:p>
    <w:p>
      <w:pPr>
        <w:pStyle w:val="BodyText"/>
      </w:pPr>
      <w:r>
        <w:rPr>
          <w:rFonts w:ascii="Arial" w:hAnsi="Arial" w:eastAsia="Arial" w:cs="Arial"/>
          <w:i w:val="false"/>
          <w:b w:val="false"/>
          <w:u w:val="none"/>
          <w:sz w:val="16"/>
          <w:szCs w:val="16"/>
          <w:color w:val="000000"/>
        </w:rPr>
        <w:t xml:space="preserve">This project was funded by a Texas Coastal Management Program grant approved by the Texas Land Commissioner, providing financial assistance under the Coastal Zone Management Act of 1972, as amended, awarded by the National Oceanic and Atmospheric Administration (NOAA), Oﬀice for Coastal Management, pursuant to NOAA Award No. NA21NOS4190136. The views expressed herein are those of the author(s) and do not necessarily reflect the views of NOAA, the U.S. Department of Commerce, or any of their subagencies.</w:t>
      </w:r>
    </w:p>
    <w:p>
      <w:pPr>
        <w:sectPr>
          <w:type w:val="nextPage"/>
          <w:footerReference r:id="rId9" w:type="default"/>
          <w:cols/>
          <w:pgSz w:h="16848" w:w="11952" w:orient="portrait"/>
          <w:pgMar w:header="720" w:bottom="1800" w:top="1800" w:right="720" w:left="720" w:footer="720" w:gutter="720"/>
        </w:sectPr>
      </w:pPr>
    </w:p>
    <w:p>
      <w:pPr>
        <w:pStyle w:val="UnnumberedHeading1"/>
      </w:pPr>
      <w:r>
        <w:t xml:space="preserve">Table of Contents</w:t>
      </w:r>
    </w:p>
    <w:p>
      <w:pPr/>
      <w:r xmlns:w14="http://schemas.microsoft.com/office/word/2010/wordml">
        <w:rPr/>
        <w:fldChar w:fldCharType="begin" w:dirty="true"/>
      </w:r>
      <w:r xmlns:w14="http://schemas.microsoft.com/office/word/2010/wordml">
        <w:rPr/>
        <w:instrText xml:space="preserve" w:dirty="true">TOC \o "1-3" \h \z \u</w:instrText>
      </w:r>
      <w:r xmlns:w14="http://schemas.microsoft.com/office/word/2010/wordml">
        <w:rPr/>
        <w:fldChar w:fldCharType="end" w:dirty="true"/>
      </w:r>
    </w:p>
    <w:p>
      <w:pPr>
        <w:pStyle w:val="UnnumberedHeading1"/>
      </w:pPr>
      <w:r>
        <w:t xml:space="preserve">Table of Figures</w:t>
      </w:r>
    </w:p>
    <w:p>
      <w:pPr/>
      <w:r xmlns:w14="http://schemas.microsoft.com/office/word/2010/wordml">
        <w:rPr/>
        <w:fldChar w:fldCharType="begin" w:dirty="true"/>
      </w:r>
      <w:r xmlns:w14="http://schemas.microsoft.com/office/word/2010/wordml">
        <w:rPr/>
        <w:instrText xml:space="preserve" w:dirty="true">TOC \h \z \c "fig"</w:instrText>
      </w:r>
      <w:r xmlns:w14="http://schemas.microsoft.com/office/word/2010/wordml">
        <w:rPr/>
        <w:fldChar w:fldCharType="end" w:dirty="true"/>
      </w:r>
    </w:p>
    <w:p>
      <w:pPr>
        <w:pStyle w:val="UnnumberedHeading1"/>
      </w:pPr>
      <w:r>
        <w:t xml:space="preserve">Table of Tables</w:t>
      </w:r>
    </w:p>
    <w:p>
      <w:pPr/>
      <w:r xmlns:w14="http://schemas.microsoft.com/office/word/2010/wordml">
        <w:rPr/>
        <w:fldChar w:fldCharType="begin" w:dirty="true"/>
      </w:r>
      <w:r xmlns:w14="http://schemas.microsoft.com/office/word/2010/wordml">
        <w:rPr/>
        <w:instrText xml:space="preserve" w:dirty="true">TOC \h \z \c "tab"</w:instrText>
      </w:r>
      <w:r xmlns:w14="http://schemas.microsoft.com/office/word/2010/wordml">
        <w:rPr/>
        <w:fldChar w:fldCharType="end" w:dirty="true"/>
      </w:r>
    </w:p>
    <w:p>
      <w:pPr>
        <w:pStyle w:val="UnnumberedHeading1"/>
      </w:pPr>
      <w:r>
        <w:t xml:space="preserve">Abbreviations</w:t>
      </w:r>
    </w:p>
    <w:p>
      <w:pPr>
        <w:sectPr>
          <w:type w:val="nextPage"/>
          <w:footerReference r:id="rId9" w:type="default"/>
          <w:cols/>
          <w:pgSz w:h="16848" w:w="11952" w:orient="portrait"/>
          <w:pgMar w:header="720" w:bottom="1800" w:top="1800" w:right="720" w:left="720" w:footer="720" w:gutter="720"/>
        </w:sectPr>
      </w:pPr>
    </w:p>
    <w:bookmarkStart w:id="23" w:name="introduction"/>
    <w:p>
      <w:pPr>
        <w:pStyle w:val="Heading1"/>
      </w:pPr>
      <w:r>
        <w:t xml:space="preserve">Introduction</w:t>
      </w:r>
    </w:p>
    <w:p>
      <w:pPr>
        <w:pStyle w:val="FirstParagraph"/>
      </w:pPr>
      <w:r>
        <w:t xml:space="preserve">A substantial proportion of coastal estuaries in the United States face excessive nutrient loading and exhibit symptoms of eutrophication</w:t>
      </w:r>
      <w:r>
        <w:t xml:space="preserve"> </w:t>
      </w:r>
      <w:r>
        <w:t xml:space="preserve">(Bricker et al. 2008)</w:t>
      </w:r>
      <w:r>
        <w:t xml:space="preserve">.</w:t>
      </w:r>
      <w:r>
        <w:t xml:space="preserve"> </w:t>
      </w:r>
      <w:r>
        <w:t xml:space="preserve">Eutrophication leads to depletion of dissolved oxygen, degradation of habitat</w:t>
      </w:r>
      <w:r>
        <w:t xml:space="preserve"> </w:t>
      </w:r>
      <w:r>
        <w:t xml:space="preserve">(Darby and Turner 2008)</w:t>
      </w:r>
      <w:r>
        <w:t xml:space="preserve"> </w:t>
      </w:r>
      <w:r>
        <w:t xml:space="preserve">and increased risks of harmful algal blooms</w:t>
      </w:r>
      <w:r>
        <w:t xml:space="preserve"> </w:t>
      </w:r>
      <w:r>
        <w:t xml:space="preserve">(Heisler et al. 2008)</w:t>
      </w:r>
      <w:r>
        <w:t xml:space="preserve">.</w:t>
      </w:r>
    </w:p>
    <w:p>
      <w:pPr>
        <w:pStyle w:val="BodyText"/>
      </w:pPr>
      <w:r>
        <w:t xml:space="preserve">There have been limited attempts at assessments of estuarine eutrophication along the Texas coastline.</w:t>
      </w:r>
      <w:r>
        <w:t xml:space="preserve"> </w:t>
      </w:r>
      <w:r>
        <w:t xml:space="preserve">Notably,</w:t>
      </w:r>
      <w:r>
        <w:t xml:space="preserve"> </w:t>
      </w:r>
      <w:r>
        <w:t xml:space="preserve">Bugica et al. (2020)</w:t>
      </w:r>
      <w:r>
        <w:t xml:space="preserve"> </w:t>
      </w:r>
      <w:r>
        <w:t xml:space="preserve">provided evidence of regional eutrophication hot spots attributed to increases in coastal population, urbanization, and alterations of freshwater inflows along the Texas coast and is an important starting point for targeted regional studies.</w:t>
      </w:r>
      <w:r>
        <w:t xml:space="preserve"> </w:t>
      </w:r>
      <w:r>
        <w:t xml:space="preserve">Bugica et al. (2020)</w:t>
      </w:r>
      <w:r>
        <w:t xml:space="preserve"> </w:t>
      </w:r>
      <w:r>
        <w:t xml:space="preserve">assessed three sites in the Lavaca Bay and identified small but significant increases in Total Phosphorus (TP) and Orthophosphate (PO</w:t>
      </w:r>
      <w:r>
        <w:rPr>
          <w:vertAlign w:val="subscript"/>
        </w:rPr>
        <w:t xml:space="preserve">4</w:t>
      </w:r>
      <w:r>
        <w:rPr>
          <w:vertAlign w:val="superscript"/>
        </w:rPr>
        <w:t xml:space="preserve">-3</w:t>
      </w:r>
      <w:r>
        <w:t xml:space="preserve">) at two sites, Total Kjeldahl Nitrogen (TKN) at two sites, and chlorophyll-</w:t>
      </w:r>
      <w:r>
        <w:rPr>
          <w:iCs/>
          <w:i/>
        </w:rPr>
        <w:t xml:space="preserve">a</w:t>
      </w:r>
      <w:r>
        <w:t xml:space="preserve"> </w:t>
      </w:r>
      <w:r>
        <w:t xml:space="preserve">at one site.</w:t>
      </w:r>
      <w:r>
        <w:t xml:space="preserve"> </w:t>
      </w:r>
      <w:r>
        <w:t xml:space="preserve">Importantly, decreases in dissolved oxygen were not detected in the study.</w:t>
      </w:r>
      <w:r>
        <w:t xml:space="preserve"> </w:t>
      </w:r>
      <w:r>
        <w:t xml:space="preserve">While there are indications that potential drivers of eutrophication are increasing in Lavaca Bay, the immediate symptoms of degraded dissolved oxygen are not evident.</w:t>
      </w:r>
      <w:r>
        <w:t xml:space="preserve"> </w:t>
      </w:r>
      <w:r>
        <w:t xml:space="preserve">Significant decreases in pH at all sites assessed by</w:t>
      </w:r>
      <w:r>
        <w:t xml:space="preserve"> </w:t>
      </w:r>
      <w:r>
        <w:t xml:space="preserve">Bugica et al. (2020)</w:t>
      </w:r>
      <w:r>
        <w:t xml:space="preserve"> </w:t>
      </w:r>
      <w:r>
        <w:t xml:space="preserve">in Lavaca Bay also point to long-term decreases in freshwater inflow and a resulting increase in salinity.</w:t>
      </w:r>
      <w:r>
        <w:t xml:space="preserve"> </w:t>
      </w:r>
      <w:r>
        <w:t xml:space="preserve">Long-term declines in the abundance of sensitive benthic fauna in Lavaca Bay have been linked to increases in salinity and reductions in freshwater inflows</w:t>
      </w:r>
      <w:r>
        <w:t xml:space="preserve"> </w:t>
      </w:r>
      <w:r>
        <w:t xml:space="preserve">(Beseres Pollack et al. 2011; Palmer and Montagna 2015; Montagna et al. 2020)</w:t>
      </w:r>
      <w:r>
        <w:t xml:space="preserve">.</w:t>
      </w:r>
    </w:p>
    <w:p>
      <w:pPr>
        <w:pStyle w:val="BodyText"/>
      </w:pPr>
      <w:r>
        <w:t xml:space="preserve">The potential for negative impacts induced by eutrophication is a especially concerning given the significant declines already observed in benthic fauna abundance, biomass, and diversity within Lavaca Bay</w:t>
      </w:r>
      <w:r>
        <w:t xml:space="preserve"> </w:t>
      </w:r>
      <w:r>
        <w:t xml:space="preserve">(Beseres Pollack et al. 2011)</w:t>
      </w:r>
      <w:r>
        <w:t xml:space="preserve">.</w:t>
      </w:r>
      <w:r>
        <w:t xml:space="preserve"> </w:t>
      </w:r>
      <w:r>
        <w:t xml:space="preserve">Underscoring this concern is the need for data that is adequate for evaluating changes over time in watershed nutrient loading.</w:t>
      </w:r>
      <w:r>
        <w:t xml:space="preserve"> </w:t>
      </w:r>
      <w:r>
        <w:t xml:space="preserve">There is also a need to understand the effects of land management decisions on nutrient loading, relative to environmental drivers such as precipitation and discharge, and how it may contribute to or improve conditions related to eutrophication in Lavaca Bay.</w:t>
      </w:r>
      <w:r>
        <w:t xml:space="preserve"> </w:t>
      </w:r>
      <w:r>
        <w:t xml:space="preserve">This work (1) quantifies Nitrate-Nitrogen (NO</w:t>
      </w:r>
      <w:r>
        <w:rPr>
          <w:vertAlign w:val="subscript"/>
        </w:rPr>
        <w:t xml:space="preserve">3</w:t>
      </w:r>
      <w:r>
        <w:t xml:space="preserve">-N) and TP loadings in the Lavaca Bay watershed and (2) assesses the relationship of eutrophication indicators in Lavaca Bay to changes in watershed discharge and loads.</w:t>
      </w:r>
    </w:p>
    <w:bookmarkEnd w:id="23"/>
    <w:bookmarkStart w:id="28" w:name="methods"/>
    <w:p>
      <w:pPr>
        <w:pStyle w:val="Heading1"/>
      </w:pPr>
      <w:r>
        <w:t xml:space="preserve">Methods</w:t>
      </w:r>
    </w:p>
    <w:bookmarkStart w:id="25" w:name="study-area-and-data"/>
    <w:p>
      <w:pPr>
        <w:pStyle w:val="Heading2"/>
      </w:pPr>
      <w:r>
        <w:t xml:space="preserve">Study Area and Data</w:t>
      </w:r>
    </w:p>
    <w:p>
      <w:pPr>
        <w:pStyle w:val="FirstParagraph"/>
      </w:pPr>
      <w:r>
        <w:t xml:space="preserve">Lavaca Bay is a secondary bay in the Matagorda Bay system located centrally along the Texas Gulf coast, roughly halfway between the cities of Houston and Corpus Christi (Figure</w:t>
      </w:r>
      <w:r>
        <w:t xml:space="preserve"> </w:t>
      </w:r>
      <w:hyperlink w:anchor="projectmap">
        <w:r xmlns:w14="http://schemas.microsoft.com/office/word/2010/wordml">
          <w:rPr/>
          <w:fldChar w:fldCharType="begin" w:dirty="true"/>
        </w:r>
        <w:r xmlns:w14="http://schemas.microsoft.com/office/word/2010/wordml">
          <w:rPr/>
          <w:instrText xml:space="preserve" w:dirty="true"> REF projectmap \h</w:instrText>
        </w:r>
        <w:r xmlns:w14="http://schemas.microsoft.com/office/word/2010/wordml">
          <w:rPr/>
          <w:fldChar w:fldCharType="end" w:dirty="true"/>
        </w:r>
      </w:hyperlink>
      <w:r>
        <w:t xml:space="preserve">).</w:t>
      </w:r>
      <w:r>
        <w:t xml:space="preserve"> </w:t>
      </w:r>
      <w:r>
        <w:t xml:space="preserve">Lavaca Bay is 190 km</w:t>
      </w:r>
      <w:r>
        <w:rPr>
          <w:vertAlign w:val="superscript"/>
        </w:rPr>
        <w:t xml:space="preserve">2</w:t>
      </w:r>
      <w:r>
        <w:t xml:space="preserve"> </w:t>
      </w:r>
      <w:r>
        <w:t xml:space="preserve">with the majority of freshwater inflow provided by the Lavaca-Navidad river system.</w:t>
      </w:r>
      <w:r>
        <w:t xml:space="preserve"> </w:t>
      </w:r>
      <w:r>
        <w:t xml:space="preserve">The Garcitas-Arenosa, Placedo Creek, and Cox Bay watersheds provide additional freshwater inflows.</w:t>
      </w:r>
      <w:r>
        <w:t xml:space="preserve"> </w:t>
      </w:r>
      <w:r>
        <w:t xml:space="preserve">The watershed land area for Lavaca Bay is 8,149 km</w:t>
      </w:r>
      <w:r>
        <w:rPr>
          <w:vertAlign w:val="superscript"/>
        </w:rPr>
        <w:t xml:space="preserve">2</w:t>
      </w:r>
      <w:r>
        <w:t xml:space="preserve">.</w:t>
      </w:r>
      <w:r>
        <w:t xml:space="preserve"> </w:t>
      </w:r>
      <w:r>
        <w:t xml:space="preserve">The Lavaca-Navidad river watershed is 5,966 km</w:t>
      </w:r>
      <w:r>
        <w:rPr>
          <w:vertAlign w:val="superscript"/>
        </w:rPr>
        <w:t xml:space="preserve">2</w:t>
      </w:r>
      <w:r>
        <w:t xml:space="preserve">, or approximately 73% of the watershed area.</w:t>
      </w:r>
      <w:r>
        <w:t xml:space="preserve"> </w:t>
      </w:r>
      <w:r>
        <w:t xml:space="preserve">Discharge from the Navidad River is regulated by Lake Texana which has been in operation since 1980.</w:t>
      </w:r>
      <w:r>
        <w:t xml:space="preserve"> </w:t>
      </w:r>
      <w:r>
        <w:t xml:space="preserve">Lake Texana provides 170,000 acre-feet of water storage and discharges into the tidal section of the Navidad River which ultimately joins the tidal section of the Lavaca River 15 km upstream of the confluence with the Bay.</w:t>
      </w:r>
    </w:p>
    <w:bookmarkStart w:id="24" w:name="hydrology"/>
    <w:p>
      <w:pPr>
        <w:pStyle w:val="Heading3"/>
      </w:pPr>
      <w:r>
        <w:t xml:space="preserve">Hydrology</w:t>
      </w:r>
    </w:p>
    <w:p>
      <w:pPr>
        <w:pStyle w:val="FirstParagraph"/>
      </w:pPr>
      <w:r>
        <w:t xml:space="preserve">Daily discharges for gaged locations within the watershed were obtained from the United States Geologic Survey (USGS) National Water Information System (NWIS) using the</w:t>
      </w:r>
      <w:r>
        <w:t xml:space="preserve"> </w:t>
      </w:r>
      <w:r>
        <w:t xml:space="preserve">“</w:t>
      </w:r>
      <w:r>
        <w:t xml:space="preserve">dataRetrieval</w:t>
      </w:r>
      <w:r>
        <w:t xml:space="preserve">”</w:t>
      </w:r>
      <w:r>
        <w:t xml:space="preserve"> </w:t>
      </w:r>
      <w:r>
        <w:t xml:space="preserve">R package</w:t>
      </w:r>
      <w:r>
        <w:t xml:space="preserve"> </w:t>
      </w:r>
      <w:r>
        <w:t xml:space="preserve">(De Cicco et al. 2022)</w:t>
      </w:r>
      <w:r>
        <w:t xml:space="preserve">.</w:t>
      </w:r>
      <w:r>
        <w:t xml:space="preserve"> </w:t>
      </w:r>
      <w:r>
        <w:t xml:space="preserve">Gaged daily discharges from Lake Texana (USGS-0816425) and modeled daily discharges for the outlet of the Lavaca-Navidad watershed were obtained from the Texas Water Development Board (TWDB) (April 21, 2022 email to the author from R. Neupane, TWDB).</w:t>
      </w:r>
      <w:r>
        <w:t xml:space="preserve"> </w:t>
      </w:r>
      <w:r>
        <w:t xml:space="preserve">Modeled discharges were developed by the TWDB for ungaged coastal basins using the Texas Rainfall-Runoff (TxRR) model described in</w:t>
      </w:r>
      <w:r>
        <w:t xml:space="preserve"> </w:t>
      </w:r>
      <w:r>
        <w:t xml:space="preserve">Schoenbaechler et al. (2011)</w:t>
      </w:r>
      <w:r>
        <w:t xml:space="preserve">.</w:t>
      </w:r>
      <w:r>
        <w:t xml:space="preserve"> </w:t>
      </w:r>
      <w:r>
        <w:t xml:space="preserve">From 2000 through 2020, mean daily discharge from the Lavaca-Navidad watershed system was 700 (MGD) based on a combination of modeled runoff and gaged discharge.</w:t>
      </w:r>
      <w:r>
        <w:t xml:space="preserve"> </w:t>
      </w:r>
      <w:r>
        <w:t xml:space="preserve">Approximately 61% of the mean daily discharge comes from Lake Texana (USGS-0816425, Figure</w:t>
      </w:r>
      <w:r>
        <w:t xml:space="preserve"> </w:t>
      </w:r>
      <w:hyperlink w:anchor="projectmap">
        <w:r xmlns:w14="http://schemas.microsoft.com/office/word/2010/wordml">
          <w:rPr/>
          <w:fldChar w:fldCharType="begin" w:dirty="true"/>
        </w:r>
        <w:r xmlns:w14="http://schemas.microsoft.com/office/word/2010/wordml">
          <w:rPr/>
          <w:instrText xml:space="preserve" w:dirty="true"> REF projectmap \h</w:instrText>
        </w:r>
        <w:r xmlns:w14="http://schemas.microsoft.com/office/word/2010/wordml">
          <w:rPr/>
          <w:fldChar w:fldCharType="end" w:dirty="true"/>
        </w:r>
      </w:hyperlink>
      <w:r>
        <w:t xml:space="preserve">), 30% is from the Lavaca River at Edna (USGS-08164000) and the rest is ungaged runoff below those two gaged locations.</w:t>
      </w:r>
    </w:p>
    <w:p>
      <w:pPr>
        <w:jc w:val="center"/>
        <w:pStyle w:val="Normal"/>
      </w:pPr>
      <w:r>
        <w:rPr/>
        <w:drawing>
          <wp:inline distT="0" distB="0" distL="0" distR="0">
            <wp:extent cx="5486400" cy="6858000"/>
            <wp:docPr id="3" name="" descr="Map of the Lavaca Bay and Lavaca Bay watershed. The map indicates the locations of the river systems and sampling sites used to estimate nutrient loading and the sites in Lavaca Bay used to relate loading to estuarine water quality parameters."/>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98"/>
                    <a:srcRect/>
                    <a:stretch>
                      <a:fillRect/>
                    </a:stretch>
                  </pic:blipFill>
                  <pic:spPr bwMode="auto">
                    <a:xfrm>
                      <a:off x="0" y="0"/>
                      <a:ext cx="76200" cy="95250"/>
                    </a:xfrm>
                    <a:prstGeom prst="rect">
                      <a:avLst/>
                    </a:prstGeom>
                    <a:noFill/>
                  </pic:spPr>
                </pic:pic>
              </a:graphicData>
            </a:graphic>
          </wp:inline>
        </w:drawing>
      </w:r>
    </w:p>
    <w:p>
      <w:pPr>
        <w:pStyle w:val="ImageCaption"/>
      </w:pPr>
      <w:r>
        <w:rPr>
          <w:rFonts/>
          <w:b w:val="false"/>
        </w:rPr>
        <w:t xml:space="preserve">Figure </w:t>
      </w:r>
      <w:bookmarkStart w:id="8495558d-dd93-4259-bb63-4a6f0c03b538" w:name="projectmap"/>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8495558d-dd93-4259-bb63-4a6f0c03b538"/>
      <w:r>
        <w:rPr>
          <w:rFonts/>
          <w:b w:val="false"/>
        </w:rPr>
        <w:t xml:space="preserve">. </w:t>
      </w:r>
      <w:r>
        <w:t xml:space="preserve">Study area map.</w:t>
      </w:r>
    </w:p>
    <w:p xmlns:w14="http://schemas.microsoft.com/office/word/2010/wordml">
      <w:pPr>
        <w:pStyle w:val="TableCaption"/>
        <w:jc w:val="center"/>
        <w:keepNext/>
      </w:pPr>
      <w:r>
        <w:rPr>
          <w:rFonts/>
          <w:b w:val="false"/>
        </w:rPr>
        <w:t xml:space="preserve">Table  </w:t>
      </w:r>
      <w:bookmarkStart w:id="60c30faf-acfc-418f-afb2-e7122966fc5a" w:name="dat_summ1"/>
      <w:r>
        <w:rPr>
          <w:rFonts/>
          <w:b w:val="false"/>
        </w:rPr>
        <w:fldChar w:fldCharType="begin" w:dirty="true"/>
      </w:r>
      <w:r>
        <w:rPr>
          <w:rFonts/>
          <w:b w:val="false"/>
        </w:rPr>
        <w:instrText xml:space="preserve" w:dirty="true">SEQ tab \* Arabic</w:instrText>
      </w:r>
      <w:r>
        <w:rPr>
          <w:rFonts/>
          <w:b w:val="false"/>
        </w:rPr>
        <w:fldChar w:fldCharType="end" w:dirty="true"/>
      </w:r>
      <w:bookmarkEnd w:id="60c30faf-acfc-418f-afb2-e7122966fc5a"/>
      <w:r>
        <w:rPr>
          <w:rFonts/>
          <w:b w:val="false"/>
        </w:rPr>
        <w:t xml:space="preserve">.  </w:t>
      </w:r>
      <w:r>
        <w:rPr>
          <w:rFonts w:ascii="Minion Pro" w:hAnsi="Minion Pro" w:eastAsia="Minion Pro" w:cs="Minion Pro"/>
          <w:i w:val="false"/>
          <w:b w:val="false"/>
          <w:u w:val="none"/>
          <w:sz w:val="20"/>
          <w:szCs w:val="20"/>
          <w:color w:val="000000"/>
        </w:rPr>
        <w:t xml:space="preserve">Summary statistics for mean daily discharge, NO</w:t>
      </w:r>
      <w:r>
        <w:rPr>
          <w:rFonts w:ascii="Minion Pro" w:hAnsi="Minion Pro" w:eastAsia="Minion Pro" w:cs="Minion Pro"/>
          <w:i w:val="false"/>
          <w:b w:val="false"/>
          <w:u w:val="none"/>
          <w:vertAlign w:val="subscript"/>
          <w:sz w:val="20"/>
          <w:szCs w:val="20"/>
          <w:color w:val="000000"/>
        </w:rPr>
        <w:t xml:space="preserve">3</w:t>
      </w:r>
      <w:r>
        <w:rPr>
          <w:rFonts w:ascii="Minion Pro" w:hAnsi="Minion Pro" w:eastAsia="Minion Pro" w:cs="Minion Pro"/>
          <w:i w:val="false"/>
          <w:b w:val="false"/>
          <w:u w:val="none"/>
          <w:sz w:val="20"/>
          <w:szCs w:val="20"/>
          <w:color w:val="000000"/>
        </w:rPr>
        <w:t xml:space="preserve">-N, and TP at the freshwater sites where daily nutrient loads were estimated.</w:t>
      </w:r>
    </w:p>
    <w:tbl xmlns:w14="http://schemas.microsoft.com/office/word/2010/wordml">
      <w:tblPr>
        <w:tblLayout w:type="autofit"/>
        <w:jc w:val="center"/>
        <w:tblW w:type="pct" w:w="0"/>
        <w:tblLook w:firstRow="1" w:lastRow="0" w:firstColumn="0" w:lastColumn="0" w:noHBand="0" w:noVBand="1"/>
      </w:tblPr>
      <w:tr>
        <w:trPr>
          <w:trHeight w:val="470" w:hRule="auto"/>
          <w:tblHeader/>
        </w:trPr>
        header1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Site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Description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gridSpan w:val="2"/>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Mean Daily Discharge</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gridSpan w:val="2"/>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NO3-N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gridSpan w:val="2"/>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TP</w:t>
            </w:r>
          </w:p>
        </w:tc>
      </w:tr>
      <w:tr>
        <w:trPr>
          <w:trHeight w:val="473" w:hRule="auto"/>
          <w:tblHeader/>
        </w:trPr>
        header2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Mean (SD)</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Mean (SD)</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Mean (SD)</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N</w:t>
            </w:r>
          </w:p>
        </w:tc>
      </w:tr>
      <w:tr>
        <w:trPr>
          <w:trHeight w:val="473" w:hRule="auto"/>
        </w:trPr>
        body1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USGS-08164000</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Lavaca River near Edna</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332.78 (1667.47)</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7,671</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0.18 (0.24)</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74</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0.21 (0.09)</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80</w:t>
            </w:r>
          </w:p>
        </w:tc>
      </w:tr>
      <w:tr>
        <w:trPr>
          <w:trHeight w:val="47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USGS-08164390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Navidad River at Strane Pk.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222.83 (926.18)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0.17 (0.15)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0.21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77</w:t>
            </w:r>
          </w:p>
        </w:tc>
      </w:tr>
      <w:tr>
        <w:trPr>
          <w:trHeight w:val="47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USGS-08164450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Sandy Creek near Ganado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176.63 (730.01)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0.17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0.21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75</w:t>
            </w:r>
          </w:p>
        </w:tc>
      </w:tr>
      <w:tr>
        <w:trPr>
          <w:trHeight w:val="47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USGS-08164503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West Mustang Creek near Ganado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144.65 (617.38)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0.45 (0.57)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0.32 (0.23)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81</w:t>
            </w:r>
          </w:p>
        </w:tc>
      </w:tr>
      <w:tr>
        <w:trPr>
          <w:trHeight w:val="47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USGS-08164504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East Mustang Creek near Lousie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39.58 (202.06)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1.15 (2.52)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0.40 (0.31)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79</w:t>
            </w:r>
          </w:p>
        </w:tc>
      </w:tr>
      <w:tr>
        <w:trPr>
          <w:trHeight w:val="473" w:hRule="auto"/>
        </w:trPr>
        body6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USGS-08164525</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Lake Texana</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666.14 (2957.79)</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7,671</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0.29 (0.26)</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62</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0.20 (0.08)</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81</w:t>
            </w:r>
          </w:p>
        </w:tc>
      </w:tr>
    </w:tbl>
    <w:bookmarkEnd w:id="24"/>
    <w:bookmarkEnd w:id="25"/>
    <w:bookmarkStart w:id="26" w:name="nutrient-load-estimation"/>
    <w:p>
      <w:pPr>
        <w:pStyle w:val="Heading2"/>
      </w:pPr>
      <w:r>
        <w:t xml:space="preserve">Nutrient Load Estimation</w:t>
      </w:r>
    </w:p>
    <w:p>
      <w:pPr>
        <w:pStyle w:val="FirstParagraph"/>
      </w:pPr>
      <w:r>
        <w:t xml:space="preserve">Regression based approaches are commonly used to estimate constituent concentration and fluxes based on continuously measured streamflow and sparsely measured constituent concentrations.</w:t>
      </w:r>
      <w:r>
        <w:br/>
      </w:r>
      <w:r>
        <w:t xml:space="preserve">Most regression-based approaches estimate daily concentration based on modeled relationships between concentration and discharge, season, and time</w:t>
      </w:r>
      <w:r>
        <w:t xml:space="preserve"> </w:t>
      </w:r>
      <w:r>
        <w:t xml:space="preserve">(Cohn et al. 1992; Hirsch et al. 2010)</w:t>
      </w:r>
      <w:r>
        <w:t xml:space="preserve">.</w:t>
      </w:r>
      <w:r>
        <w:t xml:space="preserve"> </w:t>
      </w:r>
      <w:r>
        <w:t xml:space="preserve">These approaches have recently been extended to include antecedent discharge variables that significantly improve model performance</w:t>
      </w:r>
      <w:r>
        <w:t xml:space="preserve"> </w:t>
      </w:r>
      <w:r>
        <w:t xml:space="preserve">(Zhang and Ball 2017)</w:t>
      </w:r>
      <w:r>
        <w:t xml:space="preserve">.</w:t>
      </w:r>
      <w:r>
        <w:t xml:space="preserve"> </w:t>
      </w:r>
      <w:r>
        <w:t xml:space="preserve">We developed site-specific Generalized Additive Models (GAMs) relating NO</w:t>
      </w:r>
      <w:r>
        <w:rPr>
          <w:vertAlign w:val="subscript"/>
        </w:rPr>
        <w:t xml:space="preserve">3</w:t>
      </w:r>
      <w:r>
        <w:t xml:space="preserve">-N and TP to discharge and temporal covariates.</w:t>
      </w:r>
      <w:r>
        <w:t xml:space="preserve"> </w:t>
      </w:r>
      <w:r>
        <w:t xml:space="preserve">GAMs are a semiparametric version of generalized linear models where the linear predictor is represented as the sum of multiple unknown smooth functions and parametric linear predictors.</w:t>
      </w:r>
      <w:r>
        <w:t xml:space="preserve"> </w:t>
      </w:r>
      <w:r>
        <w:t xml:space="preserve">Recent work has shown GAMs can be specified in a functionally similar manner to popular linear regression based approaches such as LOADEST</w:t>
      </w:r>
      <w:r>
        <w:t xml:space="preserve"> </w:t>
      </w:r>
      <w:r>
        <w:t xml:space="preserve">(Cohn et al. 1992)</w:t>
      </w:r>
      <w:r>
        <w:t xml:space="preserve"> </w:t>
      </w:r>
      <w:r>
        <w:t xml:space="preserve">or WRTDS</w:t>
      </w:r>
      <w:r>
        <w:t xml:space="preserve"> </w:t>
      </w:r>
      <w:r>
        <w:t xml:space="preserve">(Hirsch et al. 2010)</w:t>
      </w:r>
      <w:r>
        <w:t xml:space="preserve"> </w:t>
      </w:r>
      <w:r>
        <w:t xml:space="preserve">and produce reliable estimates of nutrient and sediment loading</w:t>
      </w:r>
      <w:r>
        <w:t xml:space="preserve"> </w:t>
      </w:r>
      <w:r>
        <w:t xml:space="preserve">(Wang et al. 2011; Kroon et al. 2012; Kuhnert et al. 2012; Robson and Dourdet 2015; Hagemann et al. 2016; McDowell et al. 2021; Biagi et al. 2022)</w:t>
      </w:r>
      <w:r>
        <w:t xml:space="preserve">.</w:t>
      </w:r>
      <w:r>
        <w:t xml:space="preserve"> </w:t>
      </w:r>
      <w:r>
        <w:t xml:space="preserve">Although the underlying parameter estimation procedure of GAMs is substantially different than WRTDS, both the functional form and results are demonstrated to be similar</w:t>
      </w:r>
      <w:r>
        <w:t xml:space="preserve"> </w:t>
      </w:r>
      <w:r>
        <w:t xml:space="preserve">(Beck and Murphy 2017)</w:t>
      </w:r>
      <w:r>
        <w:t xml:space="preserve">.</w:t>
      </w:r>
      <w:r>
        <w:t xml:space="preserve"> </w:t>
      </w:r>
      <w:r>
        <w:t xml:space="preserve">Importantly, in comparison to linear regression based approaches, GAMs allow (1) simple incorporation of additional model terms into the regression equation, (2) specification of the exponential distribution family of the response, and (3) specification of a link function relating the expected value of the response to the linear predictor.</w:t>
      </w:r>
      <w:r>
        <w:t xml:space="preserve"> </w:t>
      </w:r>
      <w:r>
        <w:t xml:space="preserve">We fit GAMs using the</w:t>
      </w:r>
      <w:r>
        <w:t xml:space="preserve"> </w:t>
      </w:r>
      <w:r>
        <w:rPr>
          <w:iCs/>
          <w:i/>
        </w:rPr>
        <w:t xml:space="preserve">mgcv</w:t>
      </w:r>
      <w:r>
        <w:t xml:space="preserve"> </w:t>
      </w:r>
      <w:r>
        <w:t xml:space="preserve">package in R which makes available multiple types of smooth functions with automatic smoothness estimation</w:t>
      </w:r>
      <w:r>
        <w:t xml:space="preserve"> </w:t>
      </w:r>
      <w:r>
        <w:t xml:space="preserve">(Wood 2011)</w:t>
      </w:r>
      <w:r>
        <w:t xml:space="preserve">. To model watershed NO</w:t>
      </w:r>
      <w:r>
        <w:rPr>
          <w:vertAlign w:val="subscript"/>
        </w:rPr>
        <w:t xml:space="preserve">3</w:t>
      </w:r>
      <w:r>
        <w:t xml:space="preserve">-N and TP loads, we fit a GAM relating constituent concentration to flow and time:</w:t>
      </w:r>
    </w:p>
    <w:p>
      <w:pPr>
        <w:pStyle w:val="BodyText"/>
      </w:pPr>
      <m:oMathPara>
        <m:oMathParaPr>
          <m:jc m:val="center"/>
        </m:oMathParaPr>
        <m:oMath>
          <m:m>
            <m:mPr>
              <m:baseJc m:val="center"/>
              <m:plcHide m:val="1"/>
              <m:mcs>
                <m:mc>
                  <m:mcPr>
                    <m:mcJc m:val="right"/>
                    <m:count m:val="1"/>
                  </m:mcPr>
                </m:mc>
                <m:mc>
                  <m:mcPr>
                    <m:mcJc m:val="left"/>
                    <m:count m:val="1"/>
                  </m:mcPr>
                </m:mc>
              </m:mcs>
            </m:mPr>
            <m:mr>
              <m:e>
                <m:r>
                  <m:t>g</m:t>
                </m:r>
                <m:d>
                  <m:dPr>
                    <m:begChr m:val="("/>
                    <m:endChr m:val=")"/>
                    <m:sepChr m:val=""/>
                    <m:grow/>
                  </m:dPr>
                  <m:e>
                    <m:r>
                      <m:t>μ</m:t>
                    </m:r>
                  </m:e>
                </m:d>
              </m:e>
              <m:e>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r>
                  <m:rPr>
                    <m:sty m:val="p"/>
                  </m:rPr>
                  <m:t>+</m:t>
                </m:r>
                <m:sSub>
                  <m:e>
                    <m:r>
                      <m:t>f</m:t>
                    </m:r>
                  </m:e>
                  <m:sub>
                    <m:r>
                      <m:t>3</m:t>
                    </m:r>
                  </m:sub>
                </m:sSub>
                <m:d>
                  <m:dPr>
                    <m:begChr m:val="("/>
                    <m:endChr m:val=")"/>
                    <m:sepChr m:val=""/>
                    <m:grow/>
                  </m:dPr>
                  <m:e>
                    <m:r>
                      <m:t>l</m:t>
                    </m:r>
                    <m:r>
                      <m:t>o</m:t>
                    </m:r>
                    <m:r>
                      <m:t>g</m:t>
                    </m:r>
                    <m:r>
                      <m:t>1</m:t>
                    </m:r>
                    <m:r>
                      <m:t>p</m:t>
                    </m:r>
                    <m:d>
                      <m:dPr>
                        <m:begChr m:val="("/>
                        <m:endChr m:val=")"/>
                        <m:sepChr m:val=""/>
                        <m:grow/>
                      </m:dPr>
                      <m:e>
                        <m:r>
                          <m:t>Q</m:t>
                        </m:r>
                      </m:e>
                    </m:d>
                  </m:e>
                </m:d>
                <m:r>
                  <m:rPr>
                    <m:sty m:val="p"/>
                  </m:rPr>
                  <m:t>+</m:t>
                </m:r>
                <m:sSub>
                  <m:e>
                    <m:r>
                      <m:t>f</m:t>
                    </m:r>
                  </m:e>
                  <m:sub>
                    <m:r>
                      <m:t>4</m:t>
                    </m:r>
                  </m:sub>
                </m:sSub>
                <m:d>
                  <m:dPr>
                    <m:begChr m:val="("/>
                    <m:endChr m:val=")"/>
                    <m:sepChr m:val=""/>
                    <m:grow/>
                  </m:dPr>
                  <m:e>
                    <m:r>
                      <m:t>m</m:t>
                    </m:r>
                    <m:r>
                      <m:t>a</m:t>
                    </m:r>
                  </m:e>
                </m:d>
                <m:r>
                  <m:rPr>
                    <m:sty m:val="p"/>
                  </m:rPr>
                  <m:t>+</m:t>
                </m:r>
                <m:sSub>
                  <m:e>
                    <m:r>
                      <m:t>f</m:t>
                    </m:r>
                  </m:e>
                  <m:sub>
                    <m:r>
                      <m:t>5</m:t>
                    </m:r>
                  </m:sub>
                </m:sSub>
                <m:d>
                  <m:dPr>
                    <m:begChr m:val="("/>
                    <m:endChr m:val=")"/>
                    <m:sepChr m:val=""/>
                    <m:grow/>
                  </m:dPr>
                  <m:e>
                    <m:r>
                      <m:t>f</m:t>
                    </m:r>
                    <m:r>
                      <m:t>a</m:t>
                    </m:r>
                  </m:e>
                </m:d>
              </m:e>
            </m:mr>
            <m:mr>
              <m:e>
                <m:r>
                  <m:t>y</m:t>
                </m:r>
              </m:e>
              <m:e>
                <m:r>
                  <m:rPr>
                    <m:sty m:val="p"/>
                  </m:rPr>
                  <m:t>∼</m:t>
                </m:r>
                <m:r>
                  <m:t>Γ</m:t>
                </m:r>
                <m:d>
                  <m:dPr>
                    <m:begChr m:val="("/>
                    <m:endChr m:val=")"/>
                    <m:sepChr m:val=""/>
                    <m:grow/>
                  </m:dPr>
                  <m:e>
                    <m:r>
                      <m:t>μ</m:t>
                    </m:r>
                    <m:r>
                      <m:rPr>
                        <m:sty m:val="p"/>
                      </m:rPr>
                      <m:t>,</m:t>
                    </m:r>
                    <m:r>
                      <m:t>λ</m:t>
                    </m:r>
                  </m:e>
                </m:d>
              </m:e>
            </m:mr>
          </m:m>
          <m:r>
            <m:t>  </m:t>
          </m:r>
          <m:d>
            <m:dPr>
              <m:begChr m:val="("/>
              <m:endChr m:val=")"/>
              <m:sepChr m:val=""/>
              <m:grow/>
            </m:dPr>
            <m:e>
              <m:r>
                <m:t>1</m:t>
              </m:r>
            </m:e>
          </m:d>
        </m:oMath>
      </m:oMathPara>
    </w:p>
    <w:p>
      <w:pPr>
        <w:pStyle w:val="FirstParagraph"/>
      </w:pPr>
      <w:r>
        <w:t xml:space="preserve">where μ is the conditional expected NO</w:t>
      </w:r>
      <w:r>
        <w:rPr>
          <w:vertAlign w:val="subscript"/>
        </w:rPr>
        <w:t xml:space="preserve">3</w:t>
      </w:r>
      <w:r>
        <w:t xml:space="preserve">-N or TP concentration,</w:t>
      </w:r>
      <w:r>
        <w:t xml:space="preserve"> </w:t>
      </w:r>
      <w:r>
        <w:rPr>
          <w:iCs/>
          <w:i/>
        </w:rPr>
        <w:t xml:space="preserve">g()</w:t>
      </w:r>
      <w:r>
        <w:t xml:space="preserve"> </w:t>
      </w:r>
      <w:r>
        <w:t xml:space="preserve">is the log-link,</w:t>
      </w:r>
      <w:r>
        <w:t xml:space="preserve"> </w:t>
      </w:r>
      <w:r>
        <w:rPr>
          <w:iCs/>
          <w:i/>
        </w:rPr>
        <w:t xml:space="preserve">α</w:t>
      </w:r>
      <w:r>
        <w:t xml:space="preserve"> </w:t>
      </w:r>
      <w:r>
        <w:t xml:space="preserve">is the intercept,</w:t>
      </w:r>
      <w:r>
        <w:t xml:space="preserve"> </w:t>
      </w:r>
      <w:r>
        <w:rPr>
          <w:iCs/>
          <w:i/>
        </w:rPr>
        <w:t xml:space="preserve">f</w:t>
      </w:r>
      <w:r>
        <w:rPr>
          <w:vertAlign w:val="subscript"/>
          <w:iCs/>
          <w:i/>
        </w:rPr>
        <w:t xml:space="preserve">n</w:t>
      </w:r>
      <w:r>
        <w:rPr>
          <w:iCs/>
          <w:i/>
        </w:rPr>
        <w:t xml:space="preserve">()</w:t>
      </w:r>
      <w:r>
        <w:t xml:space="preserve"> </w:t>
      </w:r>
      <w:r>
        <w:t xml:space="preserve">are smoothing functions.</w:t>
      </w:r>
      <w:r>
        <w:t xml:space="preserve"> </w:t>
      </w:r>
      <w:r>
        <w:rPr>
          <w:iCs/>
          <w:i/>
        </w:rPr>
        <w:t xml:space="preserve">y</w:t>
      </w:r>
      <w:r>
        <w:t xml:space="preserve"> </w:t>
      </w:r>
      <w:r>
        <w:t xml:space="preserve">is the response variable (constituent concentration) modeled as Gamma distributed with mean</w:t>
      </w:r>
      <w:r>
        <w:t xml:space="preserve"> </w:t>
      </w:r>
      <w:r>
        <w:rPr>
          <w:iCs/>
          <w:i/>
        </w:rPr>
        <w:t xml:space="preserve">μ</w:t>
      </w:r>
      <w:r>
        <w:t xml:space="preserve"> </w:t>
      </w:r>
      <w:r>
        <w:t xml:space="preserve">and scale</w:t>
      </w:r>
      <w:r>
        <w:t xml:space="preserve"> </w:t>
      </w:r>
      <w:r>
        <w:rPr>
          <w:iCs/>
          <w:i/>
        </w:rPr>
        <w:t xml:space="preserve">λ</w:t>
      </w:r>
      <w:r>
        <w:t xml:space="preserve">.</w:t>
      </w:r>
      <w:r>
        <w:t xml:space="preserve"> </w:t>
      </w:r>
      <w:r>
        <w:rPr>
          <w:iCs/>
          <w:i/>
        </w:rPr>
        <w:t xml:space="preserve">ddate</w:t>
      </w:r>
      <w:r>
        <w:t xml:space="preserve"> </w:t>
      </w:r>
      <w:r>
        <w:t xml:space="preserve">is the date converted to decimal notation,</w:t>
      </w:r>
      <w:r>
        <w:t xml:space="preserve"> </w:t>
      </w:r>
      <w:r>
        <w:rPr>
          <w:iCs/>
          <w:i/>
        </w:rPr>
        <w:t xml:space="preserve">yday</w:t>
      </w:r>
      <w:r>
        <w:t xml:space="preserve"> </w:t>
      </w:r>
      <w:r>
        <w:t xml:space="preserve">is numeric day of year (1-366), and</w:t>
      </w:r>
      <w:r>
        <w:t xml:space="preserve"> </w:t>
      </w:r>
      <w:r>
        <w:rPr>
          <w:iCs/>
          <w:i/>
        </w:rPr>
        <w:t xml:space="preserve">log1p(Q)</w:t>
      </w:r>
      <w:r>
        <w:t xml:space="preserve"> </w:t>
      </w:r>
      <w:r>
        <w:t xml:space="preserve">is the natural log of mean daily streamflow plus 1.</w:t>
      </w:r>
    </w:p>
    <w:p>
      <w:pPr>
        <w:pStyle w:val="BodyText"/>
      </w:pPr>
      <w:r>
        <w:t xml:space="preserve">Moving average (</w:t>
      </w:r>
      <w:r>
        <w:rPr>
          <w:iCs/>
          <w:i/>
        </w:rPr>
        <w:t xml:space="preserve">ma</w:t>
      </w:r>
      <w:r>
        <w:t xml:space="preserve">) is an exponentially smoothed moving average that attempts to incorporate the influence of prior streamflow events on current concentration.</w:t>
      </w:r>
      <w:r>
        <w:t xml:space="preserve"> </w:t>
      </w:r>
      <w:r>
        <w:t xml:space="preserve">Wang et al. (2011)</w:t>
      </w:r>
      <w:r>
        <w:t xml:space="preserve">,</w:t>
      </w:r>
      <w:r>
        <w:t xml:space="preserve"> </w:t>
      </w:r>
      <w:r>
        <w:t xml:space="preserve">Kuhnert et al. (2012)</w:t>
      </w:r>
      <w:r>
        <w:t xml:space="preserve"> </w:t>
      </w:r>
      <w:r>
        <w:t xml:space="preserve">and</w:t>
      </w:r>
      <w:r>
        <w:t xml:space="preserve"> </w:t>
      </w:r>
      <w:r>
        <w:t xml:space="preserve">Zhang and Ball (2017)</w:t>
      </w:r>
      <w:r>
        <w:t xml:space="preserve"> </w:t>
      </w:r>
      <w:r>
        <w:t xml:space="preserve">refer to this as averaged or smoothed discounted flow and demonstrated improvements in nutrient loading models by including the term.</w:t>
      </w:r>
      <w:r>
        <w:t xml:space="preserve"> </w:t>
      </w:r>
      <w:r>
        <w:t xml:space="preserve">Kuhnert et al. (2012)</w:t>
      </w:r>
      <w:r>
        <w:t xml:space="preserve"> </w:t>
      </w:r>
      <w:r>
        <w:t xml:space="preserve">expresses MA as</w:t>
      </w:r>
    </w:p>
    <w:p>
      <w:pPr>
        <w:pStyle w:val="BodyText"/>
      </w:pPr>
      <m:oMathPara>
        <m:oMathParaPr>
          <m:jc m:val="center"/>
        </m:oMathParaPr>
        <m:oMath>
          <m:r>
            <m:t>m</m:t>
          </m:r>
          <m:r>
            <m:t>a</m:t>
          </m:r>
          <m:d>
            <m:dPr>
              <m:begChr m:val="("/>
              <m:endChr m:val=")"/>
              <m:sepChr m:val=""/>
              <m:grow/>
            </m:dPr>
            <m:e>
              <m:r>
                <m:t>δ</m:t>
              </m:r>
            </m:e>
          </m:d>
          <m:r>
            <m:rPr>
              <m:sty m:val="p"/>
            </m:rPr>
            <m:t>=</m:t>
          </m:r>
          <m:r>
            <m:t>d</m:t>
          </m:r>
          <m:sSub>
            <m:e>
              <m:r>
                <m:t>κ</m:t>
              </m:r>
            </m:e>
            <m:sub>
              <m:r>
                <m:t>i</m:t>
              </m:r>
              <m:r>
                <m:rPr>
                  <m:sty m:val="p"/>
                </m:rPr>
                <m:t>−</m:t>
              </m:r>
              <m:r>
                <m:t>1</m:t>
              </m:r>
            </m:sub>
          </m:sSub>
          <m:r>
            <m:rPr>
              <m:sty m:val="p"/>
            </m:rPr>
            <m:t>+</m:t>
          </m:r>
          <m:d>
            <m:dPr>
              <m:begChr m:val="("/>
              <m:endChr m:val=")"/>
              <m:sepChr m:val=""/>
              <m:grow/>
            </m:dPr>
            <m:e>
              <m:r>
                <m:t>1</m:t>
              </m:r>
              <m:r>
                <m:rPr>
                  <m:sty m:val="p"/>
                </m:rPr>
                <m:t>−</m:t>
              </m:r>
              <m:r>
                <m:t>δ</m:t>
              </m:r>
            </m:e>
          </m:d>
          <m:sSub>
            <m:e>
              <m:acc>
                <m:accPr>
                  <m:chr m:val="̂"/>
                </m:accPr>
                <m:e>
                  <m:r>
                    <m:t>q</m:t>
                  </m:r>
                </m:e>
              </m:acc>
            </m:e>
            <m:sub>
              <m:r>
                <m:t>i</m:t>
              </m:r>
              <m:r>
                <m:rPr>
                  <m:sty m:val="p"/>
                </m:rPr>
                <m:t>−</m:t>
              </m:r>
              <m:r>
                <m:t>1</m:t>
              </m:r>
            </m:sub>
          </m:sSub>
          <m:r>
            <m:t> </m:t>
          </m:r>
          <m:r>
            <m:rPr>
              <m:nor/>
              <m:sty m:val="p"/>
            </m:rPr>
            <m:t>and</m:t>
          </m:r>
          <m:r>
            <m:t> </m:t>
          </m:r>
          <m:sSub>
            <m:e>
              <m:r>
                <m:t>κ</m:t>
              </m:r>
            </m:e>
            <m:sub>
              <m:r>
                <m:t>i</m:t>
              </m:r>
            </m:sub>
          </m:sSub>
          <m:r>
            <m:rPr>
              <m:sty m:val="p"/>
            </m:rPr>
            <m:t>=</m:t>
          </m:r>
          <m:nary>
            <m:naryPr>
              <m:chr m:val="∑"/>
              <m:limLoc m:val="undOvr"/>
              <m:subHide m:val="0"/>
              <m:supHide m:val="0"/>
            </m:naryPr>
            <m:sub>
              <m:r>
                <m:t>m</m:t>
              </m:r>
              <m:r>
                <m:rPr>
                  <m:sty m:val="p"/>
                </m:rPr>
                <m:t>=</m:t>
              </m:r>
              <m:r>
                <m:t>1</m:t>
              </m:r>
            </m:sub>
            <m:sup>
              <m:r>
                <m:t>i</m:t>
              </m:r>
            </m:sup>
            <m:e>
              <m:sSub>
                <m:e>
                  <m:acc>
                    <m:accPr>
                      <m:chr m:val="̂"/>
                    </m:accPr>
                    <m:e>
                      <m:r>
                        <m:t>Q</m:t>
                      </m:r>
                    </m:e>
                  </m:acc>
                </m:e>
                <m:sub>
                  <m:r>
                    <m:t>m</m:t>
                  </m:r>
                </m:sub>
              </m:sSub>
            </m:e>
          </m:nary>
          <m:r>
            <m:t>  </m:t>
          </m:r>
          <m:d>
            <m:dPr>
              <m:begChr m:val="("/>
              <m:endChr m:val=")"/>
              <m:sepChr m:val=""/>
              <m:grow/>
            </m:dPr>
            <m:e>
              <m:r>
                <m:t>2</m:t>
              </m:r>
            </m:e>
          </m:d>
        </m:oMath>
      </m:oMathPara>
    </w:p>
    <w:p>
      <w:pPr>
        <w:pStyle w:val="FirstParagraph"/>
      </w:pPr>
      <w:r>
        <w:t xml:space="preserve">where</w:t>
      </w:r>
      <w:r>
        <w:t xml:space="preserve"> </w:t>
      </w:r>
      <w:r>
        <w:rPr>
          <w:iCs/>
          <w:i/>
        </w:rPr>
        <w:t xml:space="preserve">δ</w:t>
      </w:r>
      <w:r>
        <w:t xml:space="preserve"> </w:t>
      </w:r>
      <w:r>
        <w:t xml:space="preserve">is the discount factor (here, set equal to 0.95),</w:t>
      </w:r>
      <w:r>
        <w:t xml:space="preserve"> </w:t>
      </w:r>
      <w:r>
        <w:rPr>
          <w:iCs/>
          <w:i/>
        </w:rPr>
        <w:t xml:space="preserve">κ</w:t>
      </w:r>
      <w:r>
        <w:rPr>
          <w:vertAlign w:val="subscript"/>
          <w:iCs/>
          <w:i/>
        </w:rPr>
        <w:t xml:space="preserve">i</w:t>
      </w:r>
      <w:r>
        <w:t xml:space="preserve"> </w:t>
      </w:r>
      <w:r>
        <w:t xml:space="preserve">is the cumulative flow (</w:t>
      </w:r>
      <w:r>
        <w:rPr>
          <w:iCs/>
          <w:i/>
        </w:rPr>
        <w:t xml:space="preserve">Q</w:t>
      </w:r>
      <w:r>
        <w:t xml:space="preserve">) up to the</w:t>
      </w:r>
      <w:r>
        <w:t xml:space="preserve"> </w:t>
      </w:r>
      <w:r>
        <w:rPr>
          <w:iCs/>
          <w:i/>
        </w:rPr>
        <w:t xml:space="preserve">i</w:t>
      </w:r>
      <w:r>
        <w:t xml:space="preserve">th day.</w:t>
      </w:r>
    </w:p>
    <w:p>
      <w:pPr>
        <w:pStyle w:val="BodyText"/>
      </w:pPr>
      <w:r>
        <w:t xml:space="preserve">Flow anomaly (</w:t>
      </w:r>
      <w:r>
        <w:rPr>
          <w:iCs/>
          <w:i/>
        </w:rPr>
        <w:t xml:space="preserve">fa</w:t>
      </w:r>
      <w:r>
        <w:t xml:space="preserve">) is a unitless term that represents how wet or dry the current time period is from a previous time period</w:t>
      </w:r>
      <w:r>
        <w:t xml:space="preserve"> </w:t>
      </w:r>
      <w:r>
        <w:t xml:space="preserve">(Vecchia et al. 2009; Zhang and Ball 2017)</w:t>
      </w:r>
      <w:r>
        <w:t xml:space="preserve">.</w:t>
      </w:r>
      <w:r>
        <w:t xml:space="preserve"> </w:t>
      </w:r>
      <w:r>
        <w:t xml:space="preserve">Long-term flow anomaly (</w:t>
      </w:r>
      <w:r>
        <w:rPr>
          <w:iCs/>
          <w:i/>
        </w:rPr>
        <w:t xml:space="preserve">ltfa</w:t>
      </w:r>
      <w:r>
        <w:t xml:space="preserve">) is the streamflow over the previous year relative to the entire period and calculated as described by</w:t>
      </w:r>
      <w:r>
        <w:t xml:space="preserve"> </w:t>
      </w:r>
      <w:r>
        <w:t xml:space="preserve">Zhang and Ball (2017)</w:t>
      </w:r>
      <w:r>
        <w:t xml:space="preserve">:</w:t>
      </w:r>
    </w:p>
    <w:p>
      <w:pPr>
        <w:pStyle w:val="BodyText"/>
      </w:pPr>
      <m:oMathPara>
        <m:oMathParaPr>
          <m:jc m:val="center"/>
        </m:oMathParaPr>
        <m:oMath>
          <m:r>
            <m:t>l</m:t>
          </m:r>
          <m:r>
            <m:t>t</m:t>
          </m:r>
          <m:r>
            <m:t>f</m:t>
          </m:r>
          <m:r>
            <m:t>a</m:t>
          </m:r>
          <m:d>
            <m:dPr>
              <m:begChr m:val="("/>
              <m:endChr m:val=")"/>
              <m:sepChr m:val=""/>
              <m:grow/>
            </m:dPr>
            <m:e>
              <m:r>
                <m:t>t</m:t>
              </m:r>
            </m:e>
          </m:d>
          <m:r>
            <m:rPr>
              <m:sty m:val="p"/>
            </m:rPr>
            <m:t>=</m:t>
          </m:r>
          <m:sSub>
            <m:e>
              <m:acc>
                <m:accPr>
                  <m:chr m:val="‾"/>
                </m:accPr>
                <m:e>
                  <m:r>
                    <m:t>x</m:t>
                  </m:r>
                </m:e>
              </m:acc>
            </m:e>
            <m:sub>
              <m:r>
                <m:t>1</m:t>
              </m:r>
              <m:r>
                <m:t> </m:t>
              </m:r>
              <m:r>
                <m:t>y</m:t>
              </m:r>
              <m:r>
                <m:t>e</m:t>
              </m:r>
              <m:r>
                <m:t>a</m:t>
              </m:r>
              <m:r>
                <m:t>r</m:t>
              </m:r>
            </m:sub>
          </m:sSub>
          <m:d>
            <m:dPr>
              <m:begChr m:val="("/>
              <m:endChr m:val=")"/>
              <m:sepChr m:val=""/>
              <m:grow/>
            </m:dPr>
            <m:e>
              <m:r>
                <m:t>t</m:t>
              </m:r>
            </m:e>
          </m:d>
          <m:r>
            <m:rPr>
              <m:sty m:val="p"/>
            </m:rPr>
            <m:t>−</m:t>
          </m:r>
          <m:sSub>
            <m:e>
              <m:acc>
                <m:accPr>
                  <m:chr m:val="‾"/>
                </m:accPr>
                <m:e>
                  <m:r>
                    <m:t>x</m:t>
                  </m:r>
                </m:e>
              </m:acc>
            </m:e>
            <m:sub>
              <m:r>
                <m:t>e</m:t>
              </m:r>
              <m:r>
                <m:t>n</m:t>
              </m:r>
              <m:r>
                <m:t>t</m:t>
              </m:r>
              <m:r>
                <m:t>i</m:t>
              </m:r>
              <m:r>
                <m:t>r</m:t>
              </m:r>
              <m:r>
                <m:t>e</m:t>
              </m:r>
              <m:r>
                <m:t> </m:t>
              </m:r>
              <m:r>
                <m:t>p</m:t>
              </m:r>
              <m:r>
                <m:t>e</m:t>
              </m:r>
              <m:r>
                <m:t>r</m:t>
              </m:r>
              <m:r>
                <m:t>i</m:t>
              </m:r>
              <m:r>
                <m:t>o</m:t>
              </m:r>
              <m:r>
                <m:t>d</m:t>
              </m:r>
            </m:sub>
          </m:sSub>
          <m:r>
            <m:t>  </m:t>
          </m:r>
          <m:d>
            <m:dPr>
              <m:begChr m:val="("/>
              <m:endChr m:val=")"/>
              <m:sepChr m:val=""/>
              <m:grow/>
            </m:dPr>
            <m:e>
              <m:r>
                <m:t>3</m:t>
              </m:r>
            </m:e>
          </m:d>
        </m:oMath>
      </m:oMathPara>
    </w:p>
    <w:p>
      <w:pPr>
        <w:pStyle w:val="FirstParagraph"/>
      </w:pPr>
      <w:r>
        <w:t xml:space="preserve">and the short-term flow anomaly (</w:t>
      </w:r>
      <w:r>
        <w:rPr>
          <w:iCs/>
          <w:i/>
        </w:rPr>
        <w:t xml:space="preserve">stfa</w:t>
      </w:r>
      <w:r>
        <w:t xml:space="preserve">) calculated as the current day flow compared to the preceding 1-month streamflow:</w:t>
      </w:r>
    </w:p>
    <w:p>
      <w:pPr>
        <w:pStyle w:val="BodyText"/>
      </w:pPr>
      <m:oMathPara>
        <m:oMathParaPr>
          <m:jc m:val="center"/>
        </m:oMathParaPr>
        <m:oMath>
          <m:r>
            <m:t>s</m:t>
          </m:r>
          <m:r>
            <m:t>t</m:t>
          </m:r>
          <m:r>
            <m:t>f</m:t>
          </m:r>
          <m:r>
            <m:t>a</m:t>
          </m:r>
          <m:d>
            <m:dPr>
              <m:begChr m:val="("/>
              <m:endChr m:val=")"/>
              <m:sepChr m:val=""/>
              <m:grow/>
            </m:dPr>
            <m:e>
              <m:r>
                <m:t>t</m:t>
              </m:r>
            </m:e>
          </m:d>
          <m:r>
            <m:rPr>
              <m:sty m:val="p"/>
            </m:rPr>
            <m:t>=</m:t>
          </m:r>
          <m:sSub>
            <m:e>
              <m:r>
                <m:t>x</m:t>
              </m:r>
            </m:e>
            <m:sub>
              <m:r>
                <m:t>c</m:t>
              </m:r>
              <m:r>
                <m:t>u</m:t>
              </m:r>
              <m:r>
                <m:t>r</m:t>
              </m:r>
              <m:r>
                <m:t>r</m:t>
              </m:r>
              <m:r>
                <m:t>e</m:t>
              </m:r>
              <m:r>
                <m:t>n</m:t>
              </m:r>
              <m:r>
                <m:t>t</m:t>
              </m:r>
              <m:r>
                <m:t> </m:t>
              </m:r>
              <m:r>
                <m:t>d</m:t>
              </m:r>
              <m:r>
                <m:t>a</m:t>
              </m:r>
              <m:r>
                <m:t>y</m:t>
              </m:r>
            </m:sub>
          </m:sSub>
          <m:d>
            <m:dPr>
              <m:begChr m:val="("/>
              <m:endChr m:val=")"/>
              <m:sepChr m:val=""/>
              <m:grow/>
            </m:dPr>
            <m:e>
              <m:r>
                <m:t>t</m:t>
              </m:r>
            </m:e>
          </m:d>
          <m:r>
            <m:rPr>
              <m:sty m:val="p"/>
            </m:rPr>
            <m:t>−</m:t>
          </m:r>
          <m:sSub>
            <m:e>
              <m:acc>
                <m:accPr>
                  <m:chr m:val="‾"/>
                </m:accPr>
                <m:e>
                  <m:r>
                    <m:t>x</m:t>
                  </m:r>
                </m:e>
              </m:acc>
            </m:e>
            <m:sub>
              <m:r>
                <m:t>1</m:t>
              </m:r>
              <m:r>
                <m:t> </m:t>
              </m:r>
              <m:r>
                <m:t>m</m:t>
              </m:r>
              <m:r>
                <m:t>o</m:t>
              </m:r>
              <m:r>
                <m:t>n</m:t>
              </m:r>
              <m:r>
                <m:t>t</m:t>
              </m:r>
              <m:r>
                <m:t>h</m:t>
              </m:r>
            </m:sub>
          </m:sSub>
          <m:d>
            <m:dPr>
              <m:begChr m:val="("/>
              <m:endChr m:val=")"/>
              <m:sepChr m:val=""/>
              <m:grow/>
            </m:dPr>
            <m:e>
              <m:r>
                <m:t>t</m:t>
              </m:r>
            </m:e>
          </m:d>
          <m:r>
            <m:t>  </m:t>
          </m:r>
          <m:d>
            <m:dPr>
              <m:begChr m:val="("/>
              <m:endChr m:val=")"/>
              <m:sepChr m:val=""/>
              <m:grow/>
            </m:dPr>
            <m:e>
              <m:r>
                <m:t>4</m:t>
              </m:r>
            </m:e>
          </m:d>
        </m:oMath>
      </m:oMathPara>
    </w:p>
    <w:p>
      <w:pPr>
        <w:pStyle w:val="FirstParagraph"/>
      </w:pPr>
      <w:r>
        <w:t xml:space="preserve">where</w:t>
      </w:r>
      <w:r>
        <w:t xml:space="preserve"> </w:t>
      </w:r>
      <w:r>
        <w:rPr>
          <w:iCs/>
          <w:i/>
        </w:rPr>
        <w:t xml:space="preserve">x</w:t>
      </w:r>
      <w:r>
        <w:t xml:space="preserve"> </w:t>
      </w:r>
      <w:r>
        <w:t xml:space="preserve">are the averages of log-transformed streamflow over the the antecedent period (</w:t>
      </w:r>
      <w:r>
        <w:rPr>
          <w:iCs/>
          <w:i/>
        </w:rPr>
        <w:t xml:space="preserve">1-year</w:t>
      </w:r>
      <w:r>
        <w:t xml:space="preserve">,</w:t>
      </w:r>
      <w:r>
        <w:t xml:space="preserve"> </w:t>
      </w:r>
      <w:r>
        <w:rPr>
          <w:iCs/>
          <w:i/>
        </w:rPr>
        <w:t xml:space="preserve">1-month</w:t>
      </w:r>
      <w:r>
        <w:t xml:space="preserve">, etc.) for time</w:t>
      </w:r>
      <w:r>
        <w:t xml:space="preserve"> </w:t>
      </w:r>
      <w:r>
        <w:rPr>
          <w:iCs/>
          <w:i/>
        </w:rPr>
        <w:t xml:space="preserve">t</w:t>
      </w:r>
      <w:r>
        <w:t xml:space="preserve">.</w:t>
      </w:r>
      <w:r>
        <w:br/>
      </w:r>
      <w:r>
        <w:t xml:space="preserve">We used</w:t>
      </w:r>
      <w:r>
        <w:t xml:space="preserve"> </w:t>
      </w:r>
      <w:r>
        <w:rPr>
          <w:iCs/>
          <w:i/>
        </w:rPr>
        <w:t xml:space="preserve">ltfa</w:t>
      </w:r>
      <w:r>
        <w:t xml:space="preserve"> </w:t>
      </w:r>
      <w:r>
        <w:t xml:space="preserve">in NO</w:t>
      </w:r>
      <w:r>
        <w:rPr>
          <w:vertAlign w:val="subscript"/>
        </w:rPr>
        <w:t xml:space="preserve">3</w:t>
      </w:r>
      <w:r>
        <w:t xml:space="preserve">-N models and</w:t>
      </w:r>
      <w:r>
        <w:t xml:space="preserve"> </w:t>
      </w:r>
      <w:r>
        <w:rPr>
          <w:iCs/>
          <w:i/>
        </w:rPr>
        <w:t xml:space="preserve">stfa</w:t>
      </w:r>
      <w:r>
        <w:t xml:space="preserve"> </w:t>
      </w:r>
      <w:r>
        <w:t xml:space="preserve">in TP models based on results from</w:t>
      </w:r>
      <w:r>
        <w:t xml:space="preserve"> </w:t>
      </w:r>
      <w:r>
        <w:t xml:space="preserve">Zhang and Ball (2017)</w:t>
      </w:r>
      <w:r>
        <w:t xml:space="preserve"> </w:t>
      </w:r>
      <w:r>
        <w:t xml:space="preserve">demonstrating major improvements in NO</w:t>
      </w:r>
      <w:r>
        <w:rPr>
          <w:vertAlign w:val="subscript"/>
        </w:rPr>
        <w:t xml:space="preserve">x</w:t>
      </w:r>
      <w:r>
        <w:t xml:space="preserve"> </w:t>
      </w:r>
      <w:r>
        <w:t xml:space="preserve">regression models that incorporated</w:t>
      </w:r>
      <w:r>
        <w:t xml:space="preserve"> </w:t>
      </w:r>
      <w:r>
        <w:rPr>
          <w:iCs/>
          <w:i/>
        </w:rPr>
        <w:t xml:space="preserve">ltfa</w:t>
      </w:r>
      <w:r>
        <w:t xml:space="preserve"> </w:t>
      </w:r>
      <w:r>
        <w:t xml:space="preserve">and moderate improvements in TP regression models that incorporated</w:t>
      </w:r>
      <w:r>
        <w:t xml:space="preserve"> </w:t>
      </w:r>
      <w:r>
        <w:rPr>
          <w:iCs/>
          <w:i/>
        </w:rPr>
        <w:t xml:space="preserve">stfa</w:t>
      </w:r>
      <w:r>
        <w:t xml:space="preserve">.</w:t>
      </w:r>
    </w:p>
    <w:p>
      <w:pPr>
        <w:pStyle w:val="BodyText"/>
      </w:pPr>
      <w:r>
        <w:t xml:space="preserve">Daily loads were calculated from the discrete daily concentration and the corresponding mean daily streamflow value.</w:t>
      </w:r>
      <w:r>
        <w:t xml:space="preserve"> </w:t>
      </w:r>
      <w:r>
        <w:t xml:space="preserve">The model structure was slight altered for the Palmetto Bend dam site where daily loads are not a function of natural stream flow processes, but of dam operation procedures and nutrient concentration at the discharge point of the lake. At this location, nutrient concentrations were modeled as a function of total inflow for gaged tributaries.</w:t>
      </w:r>
      <w:r>
        <w:t xml:space="preserve"> </w:t>
      </w:r>
      <w:r>
        <w:t xml:space="preserve">The</w:t>
      </w:r>
      <w:r>
        <w:t xml:space="preserve"> </w:t>
      </w:r>
      <w:r>
        <w:rPr>
          <w:iCs/>
          <w:i/>
        </w:rPr>
        <w:t xml:space="preserve">ma</w:t>
      </w:r>
      <w:r>
        <w:t xml:space="preserve"> </w:t>
      </w:r>
      <w:r>
        <w:t xml:space="preserve">and</w:t>
      </w:r>
      <w:r>
        <w:t xml:space="preserve"> </w:t>
      </w:r>
      <w:r>
        <w:rPr>
          <w:iCs/>
          <w:i/>
        </w:rPr>
        <w:t xml:space="preserve">fa</w:t>
      </w:r>
      <w:r>
        <w:t xml:space="preserve"> </w:t>
      </w:r>
      <w:r>
        <w:t xml:space="preserve">terms were also calculated based on total gaged inflow. Daily loads at the dam were calculated from the discrete daily concentration at the discharge point of the lake and corresponding reported daily discharge from the dam.</w:t>
      </w:r>
    </w:p>
    <w:p>
      <w:pPr>
        <w:pStyle w:val="BodyText"/>
      </w:pPr>
      <w:r>
        <w:t xml:space="preserve">Thin-plate regression splines with used for</w:t>
      </w:r>
      <w:r>
        <w:t xml:space="preserve"> </w:t>
      </w:r>
      <w:r>
        <w:rPr>
          <w:iCs/>
          <w:i/>
        </w:rPr>
        <w:t xml:space="preserve">ddate</w:t>
      </w:r>
      <w:r>
        <w:t xml:space="preserve">,</w:t>
      </w:r>
      <w:r>
        <w:t xml:space="preserve"> </w:t>
      </w:r>
      <w:r>
        <w:rPr>
          <w:iCs/>
          <w:i/>
        </w:rPr>
        <w:t xml:space="preserve">log1p(Q)</w:t>
      </w:r>
      <w:r>
        <w:t xml:space="preserve">,</w:t>
      </w:r>
      <w:r>
        <w:t xml:space="preserve"> </w:t>
      </w:r>
      <w:r>
        <w:rPr>
          <w:iCs/>
          <w:i/>
        </w:rPr>
        <w:t xml:space="preserve">fa</w:t>
      </w:r>
      <w:r>
        <w:t xml:space="preserve">, and</w:t>
      </w:r>
      <w:r>
        <w:t xml:space="preserve"> </w:t>
      </w:r>
      <w:r>
        <w:rPr>
          <w:iCs/>
          <w:i/>
        </w:rPr>
        <w:t xml:space="preserve">ma</w:t>
      </w:r>
      <w:r>
        <w:t xml:space="preserve">.</w:t>
      </w:r>
      <w:r>
        <w:t xml:space="preserve"> </w:t>
      </w:r>
      <w:r>
        <w:t xml:space="preserve">A cyclic cubic regression spline was used for</w:t>
      </w:r>
      <w:r>
        <w:t xml:space="preserve"> </w:t>
      </w:r>
      <w:r>
        <w:rPr>
          <w:iCs/>
          <w:i/>
        </w:rPr>
        <w:t xml:space="preserve">yday</w:t>
      </w:r>
      <w:r>
        <w:t xml:space="preserve"> </w:t>
      </w:r>
      <w:r>
        <w:t xml:space="preserve">to ensure the ends of the spline match (day 1 and day 366 are expect to match).</w:t>
      </w:r>
      <w:r>
        <w:t xml:space="preserve"> </w:t>
      </w:r>
      <w:r>
        <w:t xml:space="preserve">First order penalties were applied to the smooths of flow-based variables which penalize departures from a flat function to help constrain extrapolations for high flow measurements.</w:t>
      </w:r>
      <w:r>
        <w:t xml:space="preserve"> </w:t>
      </w:r>
      <w:r>
        <w:t xml:space="preserve">Basis dimensions smooths were adjusted after using the</w:t>
      </w:r>
      <w:r>
        <w:t xml:space="preserve"> </w:t>
      </w:r>
      <w:r>
        <w:rPr>
          <w:iCs/>
          <w:i/>
        </w:rPr>
        <w:t xml:space="preserve">gam.check</w:t>
      </w:r>
      <w:r>
        <w:t xml:space="preserve"> </w:t>
      </w:r>
      <w:r>
        <w:t xml:space="preserve">function to ensure models were not oversmoothed.</w:t>
      </w:r>
      <w:r>
        <w:t xml:space="preserve"> </w:t>
      </w:r>
      <w:r>
        <w:t xml:space="preserve">Model residuals were inspected for distributional assumptions using the</w:t>
      </w:r>
      <w:r>
        <w:t xml:space="preserve"> </w:t>
      </w:r>
      <w:r>
        <w:rPr>
          <w:iCs/>
          <w:i/>
        </w:rPr>
        <w:t xml:space="preserve">gratia</w:t>
      </w:r>
      <w:r>
        <w:t xml:space="preserve"> </w:t>
      </w:r>
      <w:r>
        <w:t xml:space="preserve">package</w:t>
      </w:r>
      <w:r>
        <w:t xml:space="preserve"> </w:t>
      </w:r>
      <w:r>
        <w:t xml:space="preserve">(Simpson 2022)</w:t>
      </w:r>
      <w:r>
        <w:t xml:space="preserve">.</w:t>
      </w:r>
    </w:p>
    <w:p>
      <w:pPr>
        <w:pStyle w:val="BodyText"/>
      </w:pPr>
      <w:r>
        <w:t xml:space="preserve">Left-censored data were not uncommon in this dataset.</w:t>
      </w:r>
      <w:r>
        <w:t xml:space="preserve"> </w:t>
      </w:r>
      <w:r>
        <w:t xml:space="preserve">Several methods are available to account for censored data.</w:t>
      </w:r>
      <w:r>
        <w:t xml:space="preserve"> </w:t>
      </w:r>
      <w:r>
        <w:t xml:space="preserve">We transformed left-censored nutrient concentrations to one-half the detection limit.</w:t>
      </w:r>
      <w:r>
        <w:t xml:space="preserve"> </w:t>
      </w:r>
      <w:r>
        <w:t xml:space="preserve">Although this simple approach can introduce bias</w:t>
      </w:r>
      <w:r>
        <w:t xml:space="preserve"> </w:t>
      </w:r>
      <w:r>
        <w:t xml:space="preserve">(Hornung and Reed 1990)</w:t>
      </w:r>
      <w:r>
        <w:t xml:space="preserve">, we deemed it acceptable based on the fact that high concentrations and loadings are associated with high-flow events and low-flow/low-concentration events will account for a small proportion of total loadings</w:t>
      </w:r>
      <w:r>
        <w:t xml:space="preserve"> </w:t>
      </w:r>
      <w:r>
        <w:t xml:space="preserve">(McDowell et al. 2021)</w:t>
      </w:r>
      <w:r>
        <w:t xml:space="preserve">.</w:t>
      </w:r>
      <w:r>
        <w:t xml:space="preserve"> </w:t>
      </w:r>
      <w:r>
        <w:t xml:space="preserve">Initial exploration using the</w:t>
      </w:r>
      <w:r>
        <w:t xml:space="preserve"> </w:t>
      </w:r>
      <w:r>
        <w:rPr>
          <w:iCs/>
          <w:i/>
        </w:rPr>
        <w:t xml:space="preserve">cenGAM</w:t>
      </w:r>
      <w:r>
        <w:t xml:space="preserve"> </w:t>
      </w:r>
      <w:r>
        <w:t xml:space="preserve">R package</w:t>
      </w:r>
      <w:r>
        <w:t xml:space="preserve"> </w:t>
      </w:r>
      <w:r>
        <w:t xml:space="preserve">(Fang 2017)</w:t>
      </w:r>
      <w:r>
        <w:t xml:space="preserve">, which provides the Tobit I family for censored Gaussian data fit using</w:t>
      </w:r>
      <w:r>
        <w:t xml:space="preserve"> </w:t>
      </w:r>
      <w:r>
        <w:rPr>
          <w:iCs/>
          <w:i/>
        </w:rPr>
        <w:t xml:space="preserve">mgcv</w:t>
      </w:r>
      <w:r>
        <w:t xml:space="preserve">, as well as censored Gamma models fit with the</w:t>
      </w:r>
      <w:r>
        <w:t xml:space="preserve"> </w:t>
      </w:r>
      <w:r>
        <w:rPr>
          <w:iCs/>
          <w:i/>
        </w:rPr>
        <w:t xml:space="preserve">brms</w:t>
      </w:r>
      <w:r>
        <w:t xml:space="preserve"> </w:t>
      </w:r>
      <w:r>
        <w:t xml:space="preserve">R package</w:t>
      </w:r>
      <w:r>
        <w:t xml:space="preserve"> </w:t>
      </w:r>
      <w:r>
        <w:t xml:space="preserve">(Bürkner 2017)</w:t>
      </w:r>
      <w:r>
        <w:t xml:space="preserve">, resulted in models that substantially overestimated nutrient concentrations relative to</w:t>
      </w:r>
      <w:r>
        <w:t xml:space="preserve"> </w:t>
      </w:r>
      <w:r>
        <w:rPr>
          <w:iCs/>
          <w:i/>
        </w:rPr>
        <w:t xml:space="preserve">mgcv</w:t>
      </w:r>
      <w:r>
        <w:t xml:space="preserve"> </w:t>
      </w:r>
      <w:r>
        <w:t xml:space="preserve">models fit with the Gamma family.</w:t>
      </w:r>
      <w:r>
        <w:t xml:space="preserve"> </w:t>
      </w:r>
      <w:r>
        <w:t xml:space="preserve">Similar results have been observed in other water quality studies</w:t>
      </w:r>
      <w:r>
        <w:t xml:space="preserve"> </w:t>
      </w:r>
      <w:r>
        <w:t xml:space="preserve">(Bergbusch et al. 2021)</w:t>
      </w:r>
      <w:r>
        <w:t xml:space="preserve">.</w:t>
      </w:r>
    </w:p>
    <w:p>
      <w:pPr>
        <w:pStyle w:val="BodyText"/>
      </w:pPr>
      <w:r>
        <w:t xml:space="preserve">Split-sample tests are often used to fit and validate models against some presumed independent data.</w:t>
      </w:r>
      <w:r>
        <w:t xml:space="preserve"> </w:t>
      </w:r>
      <w:r>
        <w:t xml:space="preserve">Given the relatively small sample sizes and in an effort to retain model robustness, nutrient load models were fit to the entire dataset</w:t>
      </w:r>
      <w:r>
        <w:t xml:space="preserve"> </w:t>
      </w:r>
      <w:r>
        <w:t xml:space="preserve">(Shen et al. 2022)</w:t>
      </w:r>
      <w:r>
        <w:t xml:space="preserve">.</w:t>
      </w:r>
      <w:r>
        <w:t xml:space="preserve"> </w:t>
      </w:r>
      <w:r>
        <w:t xml:space="preserve">The modeling approach was assessed using repeated 5-fold cross validation</w:t>
      </w:r>
      <w:r>
        <w:t xml:space="preserve"> </w:t>
      </w:r>
      <w:r>
        <w:t xml:space="preserve">(Burman 1989)</w:t>
      </w:r>
      <w:r>
        <w:t xml:space="preserve"> </w:t>
      </w:r>
      <w:r>
        <w:t xml:space="preserve">and summarized Nash-Sutcliffe Efficiency (NSE), R</w:t>
      </w:r>
      <w:r>
        <w:rPr>
          <w:vertAlign w:val="superscript"/>
        </w:rPr>
        <w:t xml:space="preserve">2</w:t>
      </w:r>
      <w:r>
        <w:t xml:space="preserve">, and percent bias (PBIAS) performance metrics across folds for each model.</w:t>
      </w:r>
      <w:r>
        <w:t xml:space="preserve"> </w:t>
      </w:r>
      <w:r>
        <w:t xml:space="preserve">These metrics were compared to values suggested by</w:t>
      </w:r>
      <w:r>
        <w:t xml:space="preserve"> </w:t>
      </w:r>
      <w:r>
        <w:t xml:space="preserve">(Moriasi et al. 2015)</w:t>
      </w:r>
      <w:r>
        <w:t xml:space="preserve"> </w:t>
      </w:r>
      <w:r>
        <w:t xml:space="preserve">as an assessment of model performance to independent data.</w:t>
      </w:r>
    </w:p>
    <w:bookmarkEnd w:id="26"/>
    <w:bookmarkStart w:id="27" w:name="X98bcc6a2f602418172997086dbe475176b9a894"/>
    <w:p>
      <w:pPr>
        <w:pStyle w:val="Heading2"/>
      </w:pPr>
      <w:r>
        <w:t xml:space="preserve">Linking Watershed Loads to Estuary Water Quality</w:t>
      </w:r>
    </w:p>
    <w:p>
      <w:pPr>
        <w:pStyle w:val="FirstParagraph"/>
      </w:pPr>
      <w:r>
        <w:t xml:space="preserve">We explored relationships between watershed nutrient loads and nutrient concentrations at three monitoring sites in Lavaca Bay. We fit three different GAM models at each site for each parameter of interest.</w:t>
      </w:r>
    </w:p>
    <w:p>
      <w:pPr>
        <w:pStyle w:val="BodyText"/>
      </w:pPr>
      <m:oMathPara>
        <m:oMathParaPr>
          <m:jc m:val="center"/>
        </m:oMathParaPr>
        <m:oMath>
          <m:r>
            <m:t>g</m:t>
          </m:r>
          <m:d>
            <m:dPr>
              <m:begChr m:val="("/>
              <m:endChr m:val=")"/>
              <m:sepChr m:val=""/>
              <m:grow/>
            </m:dPr>
            <m:e>
              <m:r>
                <m:t>μ</m:t>
              </m:r>
            </m:e>
          </m:d>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r>
            <m:rPr>
              <m:sty m:val="p"/>
            </m:rPr>
            <m:t>+</m:t>
          </m:r>
          <m:sSub>
            <m:e>
              <m:r>
                <m:t>f</m:t>
              </m:r>
            </m:e>
            <m:sub>
              <m:r>
                <m:t>3</m:t>
              </m:r>
            </m:sub>
          </m:sSub>
          <m:d>
            <m:dPr>
              <m:begChr m:val="("/>
              <m:endChr m:val=")"/>
              <m:sepChr m:val=""/>
              <m:grow/>
            </m:dPr>
            <m:e>
              <m:r>
                <m:t>d</m:t>
              </m:r>
              <m:r>
                <m:t>d</m:t>
              </m:r>
              <m:r>
                <m:t>a</m:t>
              </m:r>
              <m:r>
                <m:t>t</m:t>
              </m:r>
              <m:r>
                <m:t>e</m:t>
              </m:r>
              <m:r>
                <m:rPr>
                  <m:sty m:val="p"/>
                </m:rPr>
                <m:t>,</m:t>
              </m:r>
              <m:r>
                <m:t> </m:t>
              </m:r>
              <m:r>
                <m:t>y</m:t>
              </m:r>
              <m:r>
                <m:t>d</m:t>
              </m:r>
              <m:r>
                <m:t>a</m:t>
              </m:r>
              <m:r>
                <m:t>y</m:t>
              </m:r>
            </m:e>
          </m:d>
          <m:r>
            <m:t>  </m:t>
          </m:r>
          <m:d>
            <m:dPr>
              <m:begChr m:val="("/>
              <m:endChr m:val=")"/>
              <m:sepChr m:val=""/>
              <m:grow/>
            </m:dPr>
            <m:e>
              <m:r>
                <m:t>5</m:t>
              </m:r>
            </m:e>
          </m:d>
        </m:oMath>
      </m:oMathPara>
    </w:p>
    <w:p>
      <w:pPr>
        <w:pStyle w:val="FirstParagraph"/>
      </w:pPr>
      <m:oMathPara>
        <m:oMathParaPr>
          <m:jc m:val="center"/>
        </m:oMathParaPr>
        <m:oMath>
          <m:r>
            <m:t>g</m:t>
          </m:r>
          <m:d>
            <m:dPr>
              <m:begChr m:val="("/>
              <m:endChr m:val=")"/>
              <m:sepChr m:val=""/>
              <m:grow/>
            </m:dPr>
            <m:e>
              <m:r>
                <m:t>μ</m:t>
              </m:r>
            </m:e>
          </m:d>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r>
            <m:rPr>
              <m:sty m:val="p"/>
            </m:rPr>
            <m:t>+</m:t>
          </m:r>
          <m:sSub>
            <m:e>
              <m:r>
                <m:t>f</m:t>
              </m:r>
            </m:e>
            <m:sub>
              <m:r>
                <m:t>3</m:t>
              </m:r>
            </m:sub>
          </m:sSub>
          <m:d>
            <m:dPr>
              <m:begChr m:val="("/>
              <m:endChr m:val=")"/>
              <m:sepChr m:val=""/>
              <m:grow/>
            </m:dPr>
            <m:e>
              <m:r>
                <m:t>d</m:t>
              </m:r>
              <m:r>
                <m:t>d</m:t>
              </m:r>
              <m:r>
                <m:t>a</m:t>
              </m:r>
              <m:r>
                <m:t>t</m:t>
              </m:r>
              <m:r>
                <m:t>e</m:t>
              </m:r>
              <m:r>
                <m:rPr>
                  <m:sty m:val="p"/>
                </m:rPr>
                <m:t>,</m:t>
              </m:r>
              <m:r>
                <m:t> </m:t>
              </m:r>
              <m:r>
                <m:t>y</m:t>
              </m:r>
              <m:r>
                <m:t>d</m:t>
              </m:r>
              <m:r>
                <m:t>a</m:t>
              </m:r>
              <m:r>
                <m:t>y</m:t>
              </m:r>
            </m:e>
          </m:d>
          <m:r>
            <m:rPr>
              <m:sty m:val="p"/>
            </m:rPr>
            <m:t>+</m:t>
          </m:r>
          <m:sSub>
            <m:e>
              <m:r>
                <m:t>f</m:t>
              </m:r>
            </m:e>
            <m:sub>
              <m:r>
                <m:t>4</m:t>
              </m:r>
            </m:sub>
          </m:sSub>
          <m:d>
            <m:dPr>
              <m:begChr m:val="("/>
              <m:endChr m:val=")"/>
              <m:sepChr m:val=""/>
              <m:grow/>
            </m:dPr>
            <m:e>
              <m:r>
                <m:t>Q</m:t>
              </m:r>
            </m:e>
          </m:d>
          <m:r>
            <m:t>  </m:t>
          </m:r>
          <m:d>
            <m:dPr>
              <m:begChr m:val="("/>
              <m:endChr m:val=")"/>
              <m:sepChr m:val=""/>
              <m:grow/>
            </m:dPr>
            <m:e>
              <m:r>
                <m:t>6</m:t>
              </m:r>
            </m:e>
          </m:d>
        </m:oMath>
      </m:oMathPara>
    </w:p>
    <w:p>
      <w:pPr>
        <w:pStyle w:val="FirstParagraph"/>
      </w:pPr>
      <m:oMathPara>
        <m:oMathParaPr>
          <m:jc m:val="center"/>
        </m:oMathParaPr>
        <m:oMath>
          <m:r>
            <m:t>g</m:t>
          </m:r>
          <m:d>
            <m:dPr>
              <m:begChr m:val="("/>
              <m:endChr m:val=")"/>
              <m:sepChr m:val=""/>
              <m:grow/>
            </m:dPr>
            <m:e>
              <m:r>
                <m:t>μ</m:t>
              </m:r>
            </m:e>
          </m:d>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r>
            <m:rPr>
              <m:sty m:val="p"/>
            </m:rPr>
            <m:t>+</m:t>
          </m:r>
          <m:sSub>
            <m:e>
              <m:r>
                <m:t>f</m:t>
              </m:r>
            </m:e>
            <m:sub>
              <m:r>
                <m:t>3</m:t>
              </m:r>
            </m:sub>
          </m:sSub>
          <m:d>
            <m:dPr>
              <m:begChr m:val="("/>
              <m:endChr m:val=")"/>
              <m:sepChr m:val=""/>
              <m:grow/>
            </m:dPr>
            <m:e>
              <m:r>
                <m:t>d</m:t>
              </m:r>
              <m:r>
                <m:t>d</m:t>
              </m:r>
              <m:r>
                <m:t>a</m:t>
              </m:r>
              <m:r>
                <m:t>t</m:t>
              </m:r>
              <m:r>
                <m:t>e</m:t>
              </m:r>
              <m:r>
                <m:rPr>
                  <m:sty m:val="p"/>
                </m:rPr>
                <m:t>,</m:t>
              </m:r>
              <m:r>
                <m:t> </m:t>
              </m:r>
              <m:r>
                <m:t>y</m:t>
              </m:r>
              <m:r>
                <m:t>d</m:t>
              </m:r>
              <m:r>
                <m:t>a</m:t>
              </m:r>
              <m:r>
                <m:t>y</m:t>
              </m:r>
            </m:e>
          </m:d>
          <m:r>
            <m:rPr>
              <m:sty m:val="p"/>
            </m:rPr>
            <m:t>+</m:t>
          </m:r>
          <m:sSub>
            <m:e>
              <m:r>
                <m:t>f</m:t>
              </m:r>
            </m:e>
            <m:sub>
              <m:r>
                <m:t>4</m:t>
              </m:r>
            </m:sub>
          </m:sSub>
          <m:d>
            <m:dPr>
              <m:begChr m:val="("/>
              <m:endChr m:val=")"/>
              <m:sepChr m:val=""/>
              <m:grow/>
            </m:dPr>
            <m:e>
              <m:r>
                <m:t>Q</m:t>
              </m:r>
            </m:e>
          </m:d>
          <m:r>
            <m:rPr>
              <m:sty m:val="p"/>
            </m:rPr>
            <m:t>+</m:t>
          </m:r>
          <m:sSub>
            <m:e>
              <m:r>
                <m:t>f</m:t>
              </m:r>
            </m:e>
            <m:sub>
              <m:r>
                <m:t>5</m:t>
              </m:r>
            </m:sub>
          </m:sSub>
          <m:d>
            <m:dPr>
              <m:begChr m:val="("/>
              <m:endChr m:val=")"/>
              <m:sepChr m:val=""/>
              <m:grow/>
            </m:dPr>
            <m:e>
              <m:r>
                <m:t>L</m:t>
              </m:r>
              <m:r>
                <m:t>o</m:t>
              </m:r>
              <m:r>
                <m:t>a</m:t>
              </m:r>
              <m:r>
                <m:t>d</m:t>
              </m:r>
            </m:e>
          </m:d>
          <m:r>
            <m:t>  </m:t>
          </m:r>
          <m:d>
            <m:dPr>
              <m:begChr m:val="("/>
              <m:endChr m:val=")"/>
              <m:sepChr m:val=""/>
              <m:grow/>
            </m:dPr>
            <m:e>
              <m:r>
                <m:t>7</m:t>
              </m:r>
            </m:e>
          </m:d>
        </m:oMath>
      </m:oMathPara>
    </w:p>
    <w:p>
      <w:pPr>
        <w:pStyle w:val="FirstParagraph"/>
      </w:pPr>
      <w:r>
        <w:t xml:space="preserve">where</w:t>
      </w:r>
      <w:r>
        <w:t xml:space="preserve"> </w:t>
      </w:r>
      <w:r>
        <w:rPr>
          <w:iCs/>
          <w:i/>
        </w:rPr>
        <w:t xml:space="preserve">f</w:t>
      </w:r>
      <w:r>
        <w:rPr>
          <w:vertAlign w:val="subscript"/>
          <w:iCs/>
          <w:i/>
        </w:rPr>
        <w:t xml:space="preserve">1</w:t>
      </w:r>
      <w:r>
        <w:rPr>
          <w:iCs/>
          <w:i/>
        </w:rPr>
        <w:t xml:space="preserve">(ddate)</w:t>
      </w:r>
      <w:r>
        <w:t xml:space="preserve"> </w:t>
      </w:r>
      <w:r>
        <w:t xml:space="preserve">is decimal date smoothed with a thin-plate regression spline,</w:t>
      </w:r>
      <w:r>
        <w:t xml:space="preserve"> </w:t>
      </w:r>
      <w:r>
        <w:rPr>
          <w:iCs/>
          <w:i/>
        </w:rPr>
        <w:t xml:space="preserve">f</w:t>
      </w:r>
      <w:r>
        <w:rPr>
          <w:vertAlign w:val="subscript"/>
          <w:iCs/>
          <w:i/>
        </w:rPr>
        <w:t xml:space="preserve">2</w:t>
      </w:r>
      <w:r>
        <w:rPr>
          <w:iCs/>
          <w:i/>
        </w:rPr>
        <w:t xml:space="preserve">(yday)</w:t>
      </w:r>
      <w:r>
        <w:t xml:space="preserve"> </w:t>
      </w:r>
      <w:r>
        <w:t xml:space="preserve">is the numeric day of year smoothed with a cyclic cubic regression spline and</w:t>
      </w:r>
      <w:r>
        <w:t xml:space="preserve"> </w:t>
      </w:r>
      <w:r>
        <w:rPr>
          <w:iCs/>
          <w:i/>
        </w:rPr>
        <w:t xml:space="preserve">f</w:t>
      </w:r>
      <w:r>
        <w:rPr>
          <w:vertAlign w:val="subscript"/>
          <w:iCs/>
          <w:i/>
        </w:rPr>
        <w:t xml:space="preserve">3</w:t>
      </w:r>
      <w:r>
        <w:rPr>
          <w:iCs/>
          <w:i/>
        </w:rPr>
        <w:t xml:space="preserve">(ddate, yday)</w:t>
      </w:r>
      <w:r>
        <w:t xml:space="preserve"> </w:t>
      </w:r>
      <w:r>
        <w:t xml:space="preserve">is a tensor product smooth of the two variables.</w:t>
      </w:r>
      <w:r>
        <w:t xml:space="preserve"> </w:t>
      </w:r>
      <w:r>
        <w:rPr>
          <w:iCs/>
          <w:i/>
        </w:rPr>
        <w:t xml:space="preserve">f</w:t>
      </w:r>
      <w:r>
        <w:rPr>
          <w:vertAlign w:val="subscript"/>
          <w:iCs/>
          <w:i/>
        </w:rPr>
        <w:t xml:space="preserve">4</w:t>
      </w:r>
      <w:r>
        <w:rPr>
          <w:iCs/>
          <w:i/>
        </w:rPr>
        <w:t xml:space="preserve">(Q)</w:t>
      </w:r>
      <w:r>
        <w:t xml:space="preserve"> </w:t>
      </w:r>
      <w:r>
        <w:t xml:space="preserve">is total daily watershed discharge and</w:t>
      </w:r>
      <w:r>
        <w:t xml:space="preserve"> </w:t>
      </w:r>
      <w:r>
        <w:rPr>
          <w:iCs/>
          <w:i/>
        </w:rPr>
        <w:t xml:space="preserve">f</w:t>
      </w:r>
      <w:r>
        <w:rPr>
          <w:vertAlign w:val="subscript"/>
          <w:iCs/>
          <w:i/>
        </w:rPr>
        <w:t xml:space="preserve">5</w:t>
      </w:r>
      <w:r>
        <w:rPr>
          <w:iCs/>
          <w:i/>
        </w:rPr>
        <w:t xml:space="preserve">(Load)</w:t>
      </w:r>
      <w:r>
        <w:t xml:space="preserve"> </w:t>
      </w:r>
      <w:r>
        <w:t xml:space="preserve">is total NO</w:t>
      </w:r>
      <w:r>
        <w:rPr>
          <w:vertAlign w:val="subscript"/>
        </w:rPr>
        <w:t xml:space="preserve">3</w:t>
      </w:r>
      <w:r>
        <w:t xml:space="preserve">-N or TP watershed load obtained from Equation (1).</w:t>
      </w:r>
      <w:r>
        <w:t xml:space="preserve"> </w:t>
      </w:r>
      <w:r>
        <w:t xml:space="preserve">By comparing the model fits between the three GAMs, we evaluated if variance in Lavaca Bay nutrient concentrations are well explained by only temporal parameters (Equation (5)) or if the freshwater flow (Equation (6)) and nutrient loading (Equation (7)) can be used to explain additional variation.</w:t>
      </w:r>
      <w:r>
        <w:t xml:space="preserve"> </w:t>
      </w:r>
      <w:r>
        <w:t xml:space="preserve">The relatively large impact of flow variability on nutrient loading creates a challenge for disentangling the impacts of flow and load</w:t>
      </w:r>
      <w:r>
        <w:t xml:space="preserve"> </w:t>
      </w:r>
      <w:r>
        <w:t xml:space="preserve">(Murphy et al. 2022)</w:t>
      </w:r>
      <w:r>
        <w:t xml:space="preserve">.</w:t>
      </w:r>
      <w:r>
        <w:t xml:space="preserve"> </w:t>
      </w:r>
      <w:r>
        <w:t xml:space="preserve">Instead of using raw freshwater flow and nutrient loading values, these values were replaced by seasonally adjusted flow and flow-adjusted nutrient loads as described by</w:t>
      </w:r>
      <w:r>
        <w:t xml:space="preserve"> </w:t>
      </w:r>
      <w:r>
        <w:t xml:space="preserve">Murphy et al. (2022)</w:t>
      </w:r>
      <w:r>
        <w:t xml:space="preserve">.</w:t>
      </w:r>
      <w:r>
        <w:t xml:space="preserve"> </w:t>
      </w:r>
      <w:r>
        <w:t xml:space="preserve">In short, a seasonal GAM was fit to daily flow values and the model residuals were used in</w:t>
      </w:r>
      <w:r>
        <w:t xml:space="preserve"> </w:t>
      </w:r>
      <w:r>
        <w:rPr>
          <w:iCs/>
          <w:i/>
        </w:rPr>
        <w:t xml:space="preserve">f</w:t>
      </w:r>
      <w:r>
        <w:rPr>
          <w:vertAlign w:val="subscript"/>
          <w:iCs/>
          <w:i/>
        </w:rPr>
        <w:t xml:space="preserve">4</w:t>
      </w:r>
      <w:r>
        <w:rPr>
          <w:iCs/>
          <w:i/>
        </w:rPr>
        <w:t xml:space="preserve">(Q)</w:t>
      </w:r>
      <w:r>
        <w:t xml:space="preserve"> </w:t>
      </w:r>
      <w:r>
        <w:t xml:space="preserve">and a GAM for nutrient loads was fit to daily streamflows with the model residuals used in</w:t>
      </w:r>
      <w:r>
        <w:t xml:space="preserve"> </w:t>
      </w:r>
      <w:r>
        <w:rPr>
          <w:iCs/>
          <w:i/>
        </w:rPr>
        <w:t xml:space="preserve">f</w:t>
      </w:r>
      <w:r>
        <w:rPr>
          <w:vertAlign w:val="subscript"/>
          <w:iCs/>
          <w:i/>
        </w:rPr>
        <w:t xml:space="preserve">5</w:t>
      </w:r>
      <w:r>
        <w:rPr>
          <w:iCs/>
          <w:i/>
        </w:rPr>
        <w:t xml:space="preserve">(Load)</w:t>
      </w:r>
      <w:r>
        <w:t xml:space="preserve">.</w:t>
      </w:r>
    </w:p>
    <w:bookmarkEnd w:id="27"/>
    <w:bookmarkEnd w:id="28"/>
    <w:bookmarkStart w:id="30" w:name="tables"/>
    <w:p>
      <w:pPr>
        <w:pStyle w:val="Heading1"/>
      </w:pPr>
      <w:r>
        <w:t xml:space="preserve">Tables</w:t>
      </w:r>
    </w:p>
    <w:p>
      <w:pPr>
        <w:pStyle w:val="FirstParagraph"/>
      </w:pPr>
      <w:r>
        <w:t xml:space="preserve">This is an example of an unformatted table and how we cross-reference that table (</w:t>
      </w:r>
      <w:hyperlink w:anchor="tab:mtcars">
        <w:r>
          <w:rPr>
            <w:rStyle w:val="Hyperlink"/>
          </w:rPr>
          <w:t xml:space="preserve">Table</w:t>
        </w:r>
        <w:r>
          <w:rPr>
            <w:rStyle w:val="Hyperlink"/>
          </w:rPr>
          <w:t xml:space="preserve"> </w:t>
        </w:r>
        <w:hyperlink w:anchor="mtcars">
          <w:r xmlns:w14="http://schemas.microsoft.com/office/word/2010/wordml">
            <w:rPr/>
            <w:fldChar w:fldCharType="begin" w:dirty="true"/>
          </w:r>
          <w:r xmlns:w14="http://schemas.microsoft.com/office/word/2010/wordml">
            <w:rPr/>
            <w:instrText xml:space="preserve" w:dirty="true"> REF mtcars \h</w:instrText>
          </w:r>
          <w:r xmlns:w14="http://schemas.microsoft.com/office/word/2010/wordml">
            <w:rPr/>
            <w:fldChar w:fldCharType="end" w:dirty="true"/>
          </w:r>
        </w:hyperlink>
      </w:hyperlink>
      <w:r>
        <w:t xml:space="preserve">).</w:t>
      </w:r>
    </w:p>
    <w:p>
      <w:pPr>
        <w:pStyle w:val="TableCaption"/>
      </w:pPr>
      <w:r>
        <w:rPr>
          <w:rFonts/>
          <w:b w:val="false"/>
        </w:rPr>
        <w:t xml:space="preserve">Table  </w:t>
      </w:r>
      <w:bookmarkStart w:id="57905902-d480-4d94-b806-8b85ed8a7af9" w:name="mtcars"/>
      <w:r xmlns:w14="http://schemas.microsoft.com/office/word/2010/wordml">
        <w:rPr>
          <w:rFonts/>
          <w:b w:val="false"/>
        </w:rPr>
        <w:fldChar w:fldCharType="begin" w:dirty="true"/>
      </w:r>
      <w:r xmlns:w14="http://schemas.microsoft.com/office/word/2010/wordml">
        <w:rPr>
          <w:rFonts/>
          <w:b w:val="false"/>
        </w:rPr>
        <w:instrText xml:space="preserve" w:dirty="true">SEQ tab \* Arabic</w:instrText>
      </w:r>
      <w:r xmlns:w14="http://schemas.microsoft.com/office/word/2010/wordml">
        <w:rPr>
          <w:rFonts/>
          <w:b w:val="false"/>
        </w:rPr>
        <w:fldChar w:fldCharType="end" w:dirty="true"/>
      </w:r>
      <w:bookmarkEnd w:id="57905902-d480-4d94-b806-8b85ed8a7af9"/>
      <w:r>
        <w:rPr>
          <w:rFonts/>
          <w:b w:val="false"/>
        </w:rPr>
        <w:t xml:space="preserve">.  </w:t>
      </w:r>
      <w:r>
        <w:t xml:space="preserve">this is the builtin mtcars data.</w:t>
      </w:r>
    </w:p>
    <w:tbl>
      <w:tblPr>
        <w:tblStyle w:val="Table"/>
        <w:tblLayout w:type="autofit"/>
        <w:jc w:val="center"/>
        <w:tblW w:type="pct" w:w="5000"/>
        <w:tblLook w:firstRow="1" w:lastRow="0" w:firstColumn="0" w:lastColumn="0" w:noHBand="0" w:noVBand="1"/>
      </w:tblPr>
      <w:tr>
        <w:trPr>
          <w:tblHeader/>
        </w:trPr>
        <w:tc>
          <w:p>
            <w:pPr>
              <w:pStyle w:val="Normal"/>
            </w:pPr>
            <w:r>
              <w:t>mpg</w:t>
            </w:r>
          </w:p>
        </w:tc>
        <w:tc>
          <w:p>
            <w:pPr>
              <w:pStyle w:val="Normal"/>
            </w:pPr>
            <w:r>
              <w:t>cyl</w:t>
            </w:r>
          </w:p>
        </w:tc>
        <w:tc>
          <w:p>
            <w:pPr>
              <w:pStyle w:val="Normal"/>
            </w:pPr>
            <w:r>
              <w:t>disp</w:t>
            </w:r>
          </w:p>
        </w:tc>
        <w:tc>
          <w:p>
            <w:pPr>
              <w:pStyle w:val="Normal"/>
            </w:pPr>
            <w:r>
              <w:t>hp</w:t>
            </w:r>
          </w:p>
        </w:tc>
        <w:tc>
          <w:p>
            <w:pPr>
              <w:pStyle w:val="Normal"/>
            </w:pPr>
            <w:r>
              <w:t>drat</w:t>
            </w:r>
          </w:p>
        </w:tc>
        <w:tc>
          <w:p>
            <w:pPr>
              <w:pStyle w:val="Normal"/>
            </w:pPr>
            <w:r>
              <w:t>wt</w:t>
            </w:r>
          </w:p>
        </w:tc>
        <w:tc>
          <w:p>
            <w:pPr>
              <w:pStyle w:val="Normal"/>
            </w:pPr>
            <w:r>
              <w:t>qsec</w:t>
            </w:r>
          </w:p>
        </w:tc>
        <w:tc>
          <w:p>
            <w:pPr>
              <w:pStyle w:val="Normal"/>
            </w:pPr>
            <w:r>
              <w:t>vs</w:t>
            </w:r>
          </w:p>
        </w:tc>
        <w:tc>
          <w:p>
            <w:pPr>
              <w:pStyle w:val="Normal"/>
            </w:pPr>
            <w:r>
              <w:t>am</w:t>
            </w:r>
          </w:p>
        </w:tc>
        <w:tc>
          <w:p>
            <w:pPr>
              <w:pStyle w:val="Normal"/>
            </w:pPr>
            <w:r>
              <w:t>gear</w:t>
            </w:r>
          </w:p>
        </w:tc>
        <w:tc>
          <w:p>
            <w:pPr>
              <w:pStyle w:val="Normal"/>
            </w:pPr>
            <w:r>
              <w:t>carb</w:t>
            </w:r>
          </w:p>
        </w:tc>
      </w:tr>
      <w:tr>
        <w:tc>
          <w:p>
            <w:pPr>
              <w:pStyle w:val="Normal"/>
            </w:pPr>
            <w:r>
              <w:t>21.0</w:t>
            </w:r>
          </w:p>
        </w:tc>
        <w:tc>
          <w:p>
            <w:pPr>
              <w:pStyle w:val="Normal"/>
            </w:pPr>
            <w:r>
              <w:t>6</w:t>
            </w:r>
          </w:p>
        </w:tc>
        <w:tc>
          <w:p>
            <w:pPr>
              <w:pStyle w:val="Normal"/>
            </w:pPr>
            <w:r>
              <w:t>160.0</w:t>
            </w:r>
          </w:p>
        </w:tc>
        <w:tc>
          <w:p>
            <w:pPr>
              <w:pStyle w:val="Normal"/>
            </w:pPr>
            <w:r>
              <w:t>110</w:t>
            </w:r>
          </w:p>
        </w:tc>
        <w:tc>
          <w:p>
            <w:pPr>
              <w:pStyle w:val="Normal"/>
            </w:pPr>
            <w:r>
              <w:t>3.90</w:t>
            </w:r>
          </w:p>
        </w:tc>
        <w:tc>
          <w:p>
            <w:pPr>
              <w:pStyle w:val="Normal"/>
            </w:pPr>
            <w:r>
              <w:t>2.620</w:t>
            </w:r>
          </w:p>
        </w:tc>
        <w:tc>
          <w:p>
            <w:pPr>
              <w:pStyle w:val="Normal"/>
            </w:pPr>
            <w:r>
              <w:t>16.46</w:t>
            </w:r>
          </w:p>
        </w:tc>
        <w:tc>
          <w:p>
            <w:pPr>
              <w:pStyle w:val="Normal"/>
            </w:pPr>
            <w:r>
              <w:t>0</w:t>
            </w:r>
          </w:p>
        </w:tc>
        <w:tc>
          <w:p>
            <w:pPr>
              <w:pStyle w:val="Normal"/>
            </w:pPr>
            <w:r>
              <w:t>1</w:t>
            </w:r>
          </w:p>
        </w:tc>
        <w:tc>
          <w:p>
            <w:pPr>
              <w:pStyle w:val="Normal"/>
            </w:pPr>
            <w:r>
              <w:t>4</w:t>
            </w:r>
          </w:p>
        </w:tc>
        <w:tc>
          <w:p>
            <w:pPr>
              <w:pStyle w:val="Normal"/>
            </w:pPr>
            <w:r>
              <w:t>4</w:t>
            </w:r>
          </w:p>
        </w:tc>
      </w:tr>
      <w:tr>
        <w:tc>
          <w:p>
            <w:pPr>
              <w:pStyle w:val="Normal"/>
            </w:pPr>
            <w:r>
              <w:t>21.0</w:t>
            </w:r>
          </w:p>
        </w:tc>
        <w:tc>
          <w:p>
            <w:pPr>
              <w:pStyle w:val="Normal"/>
            </w:pPr>
            <w:r>
              <w:t>6</w:t>
            </w:r>
          </w:p>
        </w:tc>
        <w:tc>
          <w:p>
            <w:pPr>
              <w:pStyle w:val="Normal"/>
            </w:pPr>
            <w:r>
              <w:t>160.0</w:t>
            </w:r>
          </w:p>
        </w:tc>
        <w:tc>
          <w:p>
            <w:pPr>
              <w:pStyle w:val="Normal"/>
            </w:pPr>
            <w:r>
              <w:t>110</w:t>
            </w:r>
          </w:p>
        </w:tc>
        <w:tc>
          <w:p>
            <w:pPr>
              <w:pStyle w:val="Normal"/>
            </w:pPr>
            <w:r>
              <w:t>3.90</w:t>
            </w:r>
          </w:p>
        </w:tc>
        <w:tc>
          <w:p>
            <w:pPr>
              <w:pStyle w:val="Normal"/>
            </w:pPr>
            <w:r>
              <w:t>2.875</w:t>
            </w:r>
          </w:p>
        </w:tc>
        <w:tc>
          <w:p>
            <w:pPr>
              <w:pStyle w:val="Normal"/>
            </w:pPr>
            <w:r>
              <w:t>17.02</w:t>
            </w:r>
          </w:p>
        </w:tc>
        <w:tc>
          <w:p>
            <w:pPr>
              <w:pStyle w:val="Normal"/>
            </w:pPr>
            <w:r>
              <w:t>0</w:t>
            </w:r>
          </w:p>
        </w:tc>
        <w:tc>
          <w:p>
            <w:pPr>
              <w:pStyle w:val="Normal"/>
            </w:pPr>
            <w:r>
              <w:t>1</w:t>
            </w:r>
          </w:p>
        </w:tc>
        <w:tc>
          <w:p>
            <w:pPr>
              <w:pStyle w:val="Normal"/>
            </w:pPr>
            <w:r>
              <w:t>4</w:t>
            </w:r>
          </w:p>
        </w:tc>
        <w:tc>
          <w:p>
            <w:pPr>
              <w:pStyle w:val="Normal"/>
            </w:pPr>
            <w:r>
              <w:t>4</w:t>
            </w:r>
          </w:p>
        </w:tc>
      </w:tr>
      <w:tr>
        <w:tc>
          <w:p>
            <w:pPr>
              <w:pStyle w:val="Normal"/>
            </w:pPr>
            <w:r>
              <w:t>22.8</w:t>
            </w:r>
          </w:p>
        </w:tc>
        <w:tc>
          <w:p>
            <w:pPr>
              <w:pStyle w:val="Normal"/>
            </w:pPr>
            <w:r>
              <w:t>4</w:t>
            </w:r>
          </w:p>
        </w:tc>
        <w:tc>
          <w:p>
            <w:pPr>
              <w:pStyle w:val="Normal"/>
            </w:pPr>
            <w:r>
              <w:t>108.0</w:t>
            </w:r>
          </w:p>
        </w:tc>
        <w:tc>
          <w:p>
            <w:pPr>
              <w:pStyle w:val="Normal"/>
            </w:pPr>
            <w:r>
              <w:t>93</w:t>
            </w:r>
          </w:p>
        </w:tc>
        <w:tc>
          <w:p>
            <w:pPr>
              <w:pStyle w:val="Normal"/>
            </w:pPr>
            <w:r>
              <w:t>3.85</w:t>
            </w:r>
          </w:p>
        </w:tc>
        <w:tc>
          <w:p>
            <w:pPr>
              <w:pStyle w:val="Normal"/>
            </w:pPr>
            <w:r>
              <w:t>2.320</w:t>
            </w:r>
          </w:p>
        </w:tc>
        <w:tc>
          <w:p>
            <w:pPr>
              <w:pStyle w:val="Normal"/>
            </w:pPr>
            <w:r>
              <w:t>18.61</w:t>
            </w:r>
          </w:p>
        </w:tc>
        <w:tc>
          <w:p>
            <w:pPr>
              <w:pStyle w:val="Normal"/>
            </w:pPr>
            <w:r>
              <w:t>1</w:t>
            </w:r>
          </w:p>
        </w:tc>
        <w:tc>
          <w:p>
            <w:pPr>
              <w:pStyle w:val="Normal"/>
            </w:pPr>
            <w:r>
              <w:t>1</w:t>
            </w:r>
          </w:p>
        </w:tc>
        <w:tc>
          <w:p>
            <w:pPr>
              <w:pStyle w:val="Normal"/>
            </w:pPr>
            <w:r>
              <w:t>4</w:t>
            </w:r>
          </w:p>
        </w:tc>
        <w:tc>
          <w:p>
            <w:pPr>
              <w:pStyle w:val="Normal"/>
            </w:pPr>
            <w:r>
              <w:t>1</w:t>
            </w:r>
          </w:p>
        </w:tc>
      </w:tr>
      <w:tr>
        <w:tc>
          <w:p>
            <w:pPr>
              <w:pStyle w:val="Normal"/>
            </w:pPr>
            <w:r>
              <w:t>21.4</w:t>
            </w:r>
          </w:p>
        </w:tc>
        <w:tc>
          <w:p>
            <w:pPr>
              <w:pStyle w:val="Normal"/>
            </w:pPr>
            <w:r>
              <w:t>6</w:t>
            </w:r>
          </w:p>
        </w:tc>
        <w:tc>
          <w:p>
            <w:pPr>
              <w:pStyle w:val="Normal"/>
            </w:pPr>
            <w:r>
              <w:t>258.0</w:t>
            </w:r>
          </w:p>
        </w:tc>
        <w:tc>
          <w:p>
            <w:pPr>
              <w:pStyle w:val="Normal"/>
            </w:pPr>
            <w:r>
              <w:t>110</w:t>
            </w:r>
          </w:p>
        </w:tc>
        <w:tc>
          <w:p>
            <w:pPr>
              <w:pStyle w:val="Normal"/>
            </w:pPr>
            <w:r>
              <w:t>3.08</w:t>
            </w:r>
          </w:p>
        </w:tc>
        <w:tc>
          <w:p>
            <w:pPr>
              <w:pStyle w:val="Normal"/>
            </w:pPr>
            <w:r>
              <w:t>3.215</w:t>
            </w:r>
          </w:p>
        </w:tc>
        <w:tc>
          <w:p>
            <w:pPr>
              <w:pStyle w:val="Normal"/>
            </w:pPr>
            <w:r>
              <w:t>19.44</w:t>
            </w:r>
          </w:p>
        </w:tc>
        <w:tc>
          <w:p>
            <w:pPr>
              <w:pStyle w:val="Normal"/>
            </w:pPr>
            <w:r>
              <w:t>1</w:t>
            </w:r>
          </w:p>
        </w:tc>
        <w:tc>
          <w:p>
            <w:pPr>
              <w:pStyle w:val="Normal"/>
            </w:pPr>
            <w:r>
              <w:t>0</w:t>
            </w:r>
          </w:p>
        </w:tc>
        <w:tc>
          <w:p>
            <w:pPr>
              <w:pStyle w:val="Normal"/>
            </w:pPr>
            <w:r>
              <w:t>3</w:t>
            </w:r>
          </w:p>
        </w:tc>
        <w:tc>
          <w:p>
            <w:pPr>
              <w:pStyle w:val="Normal"/>
            </w:pPr>
            <w:r>
              <w:t>1</w:t>
            </w:r>
          </w:p>
        </w:tc>
      </w:tr>
      <w:tr>
        <w:tc>
          <w:p>
            <w:pPr>
              <w:pStyle w:val="Normal"/>
            </w:pPr>
            <w:r>
              <w:t>18.7</w:t>
            </w:r>
          </w:p>
        </w:tc>
        <w:tc>
          <w:p>
            <w:pPr>
              <w:pStyle w:val="Normal"/>
            </w:pPr>
            <w:r>
              <w:t>8</w:t>
            </w:r>
          </w:p>
        </w:tc>
        <w:tc>
          <w:p>
            <w:pPr>
              <w:pStyle w:val="Normal"/>
            </w:pPr>
            <w:r>
              <w:t>360.0</w:t>
            </w:r>
          </w:p>
        </w:tc>
        <w:tc>
          <w:p>
            <w:pPr>
              <w:pStyle w:val="Normal"/>
            </w:pPr>
            <w:r>
              <w:t>175</w:t>
            </w:r>
          </w:p>
        </w:tc>
        <w:tc>
          <w:p>
            <w:pPr>
              <w:pStyle w:val="Normal"/>
            </w:pPr>
            <w:r>
              <w:t>3.15</w:t>
            </w:r>
          </w:p>
        </w:tc>
        <w:tc>
          <w:p>
            <w:pPr>
              <w:pStyle w:val="Normal"/>
            </w:pPr>
            <w:r>
              <w:t>3.440</w:t>
            </w:r>
          </w:p>
        </w:tc>
        <w:tc>
          <w:p>
            <w:pPr>
              <w:pStyle w:val="Normal"/>
            </w:pPr>
            <w:r>
              <w:t>17.02</w:t>
            </w:r>
          </w:p>
        </w:tc>
        <w:tc>
          <w:p>
            <w:pPr>
              <w:pStyle w:val="Normal"/>
            </w:pPr>
            <w:r>
              <w:t>0</w:t>
            </w:r>
          </w:p>
        </w:tc>
        <w:tc>
          <w:p>
            <w:pPr>
              <w:pStyle w:val="Normal"/>
            </w:pPr>
            <w:r>
              <w:t>0</w:t>
            </w:r>
          </w:p>
        </w:tc>
        <w:tc>
          <w:p>
            <w:pPr>
              <w:pStyle w:val="Normal"/>
            </w:pPr>
            <w:r>
              <w:t>3</w:t>
            </w:r>
          </w:p>
        </w:tc>
        <w:tc>
          <w:p>
            <w:pPr>
              <w:pStyle w:val="Normal"/>
            </w:pPr>
            <w:r>
              <w:t>2</w:t>
            </w:r>
          </w:p>
        </w:tc>
      </w:tr>
      <w:tr>
        <w:tc>
          <w:p>
            <w:pPr>
              <w:pStyle w:val="Normal"/>
            </w:pPr>
            <w:r>
              <w:t>18.1</w:t>
            </w:r>
          </w:p>
        </w:tc>
        <w:tc>
          <w:p>
            <w:pPr>
              <w:pStyle w:val="Normal"/>
            </w:pPr>
            <w:r>
              <w:t>6</w:t>
            </w:r>
          </w:p>
        </w:tc>
        <w:tc>
          <w:p>
            <w:pPr>
              <w:pStyle w:val="Normal"/>
            </w:pPr>
            <w:r>
              <w:t>225.0</w:t>
            </w:r>
          </w:p>
        </w:tc>
        <w:tc>
          <w:p>
            <w:pPr>
              <w:pStyle w:val="Normal"/>
            </w:pPr>
            <w:r>
              <w:t>105</w:t>
            </w:r>
          </w:p>
        </w:tc>
        <w:tc>
          <w:p>
            <w:pPr>
              <w:pStyle w:val="Normal"/>
            </w:pPr>
            <w:r>
              <w:t>2.76</w:t>
            </w:r>
          </w:p>
        </w:tc>
        <w:tc>
          <w:p>
            <w:pPr>
              <w:pStyle w:val="Normal"/>
            </w:pPr>
            <w:r>
              <w:t>3.460</w:t>
            </w:r>
          </w:p>
        </w:tc>
        <w:tc>
          <w:p>
            <w:pPr>
              <w:pStyle w:val="Normal"/>
            </w:pPr>
            <w:r>
              <w:t>20.22</w:t>
            </w:r>
          </w:p>
        </w:tc>
        <w:tc>
          <w:p>
            <w:pPr>
              <w:pStyle w:val="Normal"/>
            </w:pPr>
            <w:r>
              <w:t>1</w:t>
            </w:r>
          </w:p>
        </w:tc>
        <w:tc>
          <w:p>
            <w:pPr>
              <w:pStyle w:val="Normal"/>
            </w:pPr>
            <w:r>
              <w:t>0</w:t>
            </w:r>
          </w:p>
        </w:tc>
        <w:tc>
          <w:p>
            <w:pPr>
              <w:pStyle w:val="Normal"/>
            </w:pPr>
            <w:r>
              <w:t>3</w:t>
            </w:r>
          </w:p>
        </w:tc>
        <w:tc>
          <w:p>
            <w:pPr>
              <w:pStyle w:val="Normal"/>
            </w:pPr>
            <w:r>
              <w:t>1</w:t>
            </w:r>
          </w:p>
        </w:tc>
      </w:tr>
      <w:tr>
        <w:tc>
          <w:p>
            <w:pPr>
              <w:pStyle w:val="Normal"/>
            </w:pPr>
            <w:r>
              <w:t>14.3</w:t>
            </w:r>
          </w:p>
        </w:tc>
        <w:tc>
          <w:p>
            <w:pPr>
              <w:pStyle w:val="Normal"/>
            </w:pPr>
            <w:r>
              <w:t>8</w:t>
            </w:r>
          </w:p>
        </w:tc>
        <w:tc>
          <w:p>
            <w:pPr>
              <w:pStyle w:val="Normal"/>
            </w:pPr>
            <w:r>
              <w:t>360.0</w:t>
            </w:r>
          </w:p>
        </w:tc>
        <w:tc>
          <w:p>
            <w:pPr>
              <w:pStyle w:val="Normal"/>
            </w:pPr>
            <w:r>
              <w:t>245</w:t>
            </w:r>
          </w:p>
        </w:tc>
        <w:tc>
          <w:p>
            <w:pPr>
              <w:pStyle w:val="Normal"/>
            </w:pPr>
            <w:r>
              <w:t>3.21</w:t>
            </w:r>
          </w:p>
        </w:tc>
        <w:tc>
          <w:p>
            <w:pPr>
              <w:pStyle w:val="Normal"/>
            </w:pPr>
            <w:r>
              <w:t>3.570</w:t>
            </w:r>
          </w:p>
        </w:tc>
        <w:tc>
          <w:p>
            <w:pPr>
              <w:pStyle w:val="Normal"/>
            </w:pPr>
            <w:r>
              <w:t>15.84</w:t>
            </w:r>
          </w:p>
        </w:tc>
        <w:tc>
          <w:p>
            <w:pPr>
              <w:pStyle w:val="Normal"/>
            </w:pPr>
            <w:r>
              <w:t>0</w:t>
            </w:r>
          </w:p>
        </w:tc>
        <w:tc>
          <w:p>
            <w:pPr>
              <w:pStyle w:val="Normal"/>
            </w:pPr>
            <w:r>
              <w:t>0</w:t>
            </w:r>
          </w:p>
        </w:tc>
        <w:tc>
          <w:p>
            <w:pPr>
              <w:pStyle w:val="Normal"/>
            </w:pPr>
            <w:r>
              <w:t>3</w:t>
            </w:r>
          </w:p>
        </w:tc>
        <w:tc>
          <w:p>
            <w:pPr>
              <w:pStyle w:val="Normal"/>
            </w:pPr>
            <w:r>
              <w:t>4</w:t>
            </w:r>
          </w:p>
        </w:tc>
      </w:tr>
      <w:tr>
        <w:tc>
          <w:p>
            <w:pPr>
              <w:pStyle w:val="Normal"/>
            </w:pPr>
            <w:r>
              <w:t>24.4</w:t>
            </w:r>
          </w:p>
        </w:tc>
        <w:tc>
          <w:p>
            <w:pPr>
              <w:pStyle w:val="Normal"/>
            </w:pPr>
            <w:r>
              <w:t>4</w:t>
            </w:r>
          </w:p>
        </w:tc>
        <w:tc>
          <w:p>
            <w:pPr>
              <w:pStyle w:val="Normal"/>
            </w:pPr>
            <w:r>
              <w:t>146.7</w:t>
            </w:r>
          </w:p>
        </w:tc>
        <w:tc>
          <w:p>
            <w:pPr>
              <w:pStyle w:val="Normal"/>
            </w:pPr>
            <w:r>
              <w:t>62</w:t>
            </w:r>
          </w:p>
        </w:tc>
        <w:tc>
          <w:p>
            <w:pPr>
              <w:pStyle w:val="Normal"/>
            </w:pPr>
            <w:r>
              <w:t>3.69</w:t>
            </w:r>
          </w:p>
        </w:tc>
        <w:tc>
          <w:p>
            <w:pPr>
              <w:pStyle w:val="Normal"/>
            </w:pPr>
            <w:r>
              <w:t>3.190</w:t>
            </w:r>
          </w:p>
        </w:tc>
        <w:tc>
          <w:p>
            <w:pPr>
              <w:pStyle w:val="Normal"/>
            </w:pPr>
            <w:r>
              <w:t>20.00</w:t>
            </w:r>
          </w:p>
        </w:tc>
        <w:tc>
          <w:p>
            <w:pPr>
              <w:pStyle w:val="Normal"/>
            </w:pPr>
            <w:r>
              <w:t>1</w:t>
            </w:r>
          </w:p>
        </w:tc>
        <w:tc>
          <w:p>
            <w:pPr>
              <w:pStyle w:val="Normal"/>
            </w:pPr>
            <w:r>
              <w:t>0</w:t>
            </w:r>
          </w:p>
        </w:tc>
        <w:tc>
          <w:p>
            <w:pPr>
              <w:pStyle w:val="Normal"/>
            </w:pPr>
            <w:r>
              <w:t>4</w:t>
            </w:r>
          </w:p>
        </w:tc>
        <w:tc>
          <w:p>
            <w:pPr>
              <w:pStyle w:val="Normal"/>
            </w:pPr>
            <w:r>
              <w:t>2</w:t>
            </w:r>
          </w:p>
        </w:tc>
      </w:tr>
      <w:tr>
        <w:tc>
          <w:p>
            <w:pPr>
              <w:pStyle w:val="Normal"/>
            </w:pPr>
            <w:r>
              <w:t>22.8</w:t>
            </w:r>
          </w:p>
        </w:tc>
        <w:tc>
          <w:p>
            <w:pPr>
              <w:pStyle w:val="Normal"/>
            </w:pPr>
            <w:r>
              <w:t>4</w:t>
            </w:r>
          </w:p>
        </w:tc>
        <w:tc>
          <w:p>
            <w:pPr>
              <w:pStyle w:val="Normal"/>
            </w:pPr>
            <w:r>
              <w:t>140.8</w:t>
            </w:r>
          </w:p>
        </w:tc>
        <w:tc>
          <w:p>
            <w:pPr>
              <w:pStyle w:val="Normal"/>
            </w:pPr>
            <w:r>
              <w:t>95</w:t>
            </w:r>
          </w:p>
        </w:tc>
        <w:tc>
          <w:p>
            <w:pPr>
              <w:pStyle w:val="Normal"/>
            </w:pPr>
            <w:r>
              <w:t>3.92</w:t>
            </w:r>
          </w:p>
        </w:tc>
        <w:tc>
          <w:p>
            <w:pPr>
              <w:pStyle w:val="Normal"/>
            </w:pPr>
            <w:r>
              <w:t>3.150</w:t>
            </w:r>
          </w:p>
        </w:tc>
        <w:tc>
          <w:p>
            <w:pPr>
              <w:pStyle w:val="Normal"/>
            </w:pPr>
            <w:r>
              <w:t>22.90</w:t>
            </w:r>
          </w:p>
        </w:tc>
        <w:tc>
          <w:p>
            <w:pPr>
              <w:pStyle w:val="Normal"/>
            </w:pPr>
            <w:r>
              <w:t>1</w:t>
            </w:r>
          </w:p>
        </w:tc>
        <w:tc>
          <w:p>
            <w:pPr>
              <w:pStyle w:val="Normal"/>
            </w:pPr>
            <w:r>
              <w:t>0</w:t>
            </w:r>
          </w:p>
        </w:tc>
        <w:tc>
          <w:p>
            <w:pPr>
              <w:pStyle w:val="Normal"/>
            </w:pPr>
            <w:r>
              <w:t>4</w:t>
            </w:r>
          </w:p>
        </w:tc>
        <w:tc>
          <w:p>
            <w:pPr>
              <w:pStyle w:val="Normal"/>
            </w:pPr>
            <w:r>
              <w:t>2</w:t>
            </w:r>
          </w:p>
        </w:tc>
      </w:tr>
      <w:tr>
        <w:tc>
          <w:p>
            <w:pPr>
              <w:pStyle w:val="Normal"/>
            </w:pPr>
            <w:r>
              <w:t>19.2</w:t>
            </w:r>
          </w:p>
        </w:tc>
        <w:tc>
          <w:p>
            <w:pPr>
              <w:pStyle w:val="Normal"/>
            </w:pPr>
            <w:r>
              <w:t>6</w:t>
            </w:r>
          </w:p>
        </w:tc>
        <w:tc>
          <w:p>
            <w:pPr>
              <w:pStyle w:val="Normal"/>
            </w:pPr>
            <w:r>
              <w:t>167.6</w:t>
            </w:r>
          </w:p>
        </w:tc>
        <w:tc>
          <w:p>
            <w:pPr>
              <w:pStyle w:val="Normal"/>
            </w:pPr>
            <w:r>
              <w:t>123</w:t>
            </w:r>
          </w:p>
        </w:tc>
        <w:tc>
          <w:p>
            <w:pPr>
              <w:pStyle w:val="Normal"/>
            </w:pPr>
            <w:r>
              <w:t>3.92</w:t>
            </w:r>
          </w:p>
        </w:tc>
        <w:tc>
          <w:p>
            <w:pPr>
              <w:pStyle w:val="Normal"/>
            </w:pPr>
            <w:r>
              <w:t>3.440</w:t>
            </w:r>
          </w:p>
        </w:tc>
        <w:tc>
          <w:p>
            <w:pPr>
              <w:pStyle w:val="Normal"/>
            </w:pPr>
            <w:r>
              <w:t>18.30</w:t>
            </w:r>
          </w:p>
        </w:tc>
        <w:tc>
          <w:p>
            <w:pPr>
              <w:pStyle w:val="Normal"/>
            </w:pPr>
            <w:r>
              <w:t>1</w:t>
            </w:r>
          </w:p>
        </w:tc>
        <w:tc>
          <w:p>
            <w:pPr>
              <w:pStyle w:val="Normal"/>
            </w:pPr>
            <w:r>
              <w:t>0</w:t>
            </w:r>
          </w:p>
        </w:tc>
        <w:tc>
          <w:p>
            <w:pPr>
              <w:pStyle w:val="Normal"/>
            </w:pPr>
            <w:r>
              <w:t>4</w:t>
            </w:r>
          </w:p>
        </w:tc>
        <w:tc>
          <w:p>
            <w:pPr>
              <w:pStyle w:val="Normal"/>
            </w:pPr>
            <w:r>
              <w:t>4</w:t>
            </w:r>
          </w:p>
        </w:tc>
      </w:tr>
    </w:tbl>
    <w:p>
      <w:pPr>
        <w:pStyle w:val="BodyText"/>
      </w:pPr>
      <w:r>
        <w:t xml:space="preserve">The</w:t>
      </w:r>
      <w:r>
        <w:t xml:space="preserve"> </w:t>
      </w:r>
      <w:hyperlink r:id="rId29">
        <w:r>
          <w:rPr>
            <w:rStyle w:val="VerbatimChar"/>
          </w:rPr>
          <w:t xml:space="preserve">flextable</w:t>
        </w:r>
      </w:hyperlink>
      <w:r>
        <w:t xml:space="preserve"> </w:t>
      </w:r>
      <w:r>
        <w:t xml:space="preserve">package provides additional formatting flexibility when exporting to Word (Table</w:t>
      </w:r>
      <w:r>
        <w:t xml:space="preserve"> </w:t>
      </w:r>
      <w:hyperlink w:anchor="mtcarsflex">
        <w:r xmlns:w14="http://schemas.microsoft.com/office/word/2010/wordml">
          <w:rPr/>
          <w:fldChar w:fldCharType="begin" w:dirty="true"/>
        </w:r>
        <w:r xmlns:w14="http://schemas.microsoft.com/office/word/2010/wordml">
          <w:rPr/>
          <w:instrText xml:space="preserve" w:dirty="true"> REF mtcarsflex \h</w:instrText>
        </w:r>
        <w:r xmlns:w14="http://schemas.microsoft.com/office/word/2010/wordml">
          <w:rPr/>
          <w:fldChar w:fldCharType="end" w:dirty="true"/>
        </w:r>
      </w:hyperlink>
      <w:r>
        <w:t xml:space="preserve">).</w:t>
      </w:r>
    </w:p>
    <w:p xmlns:w14="http://schemas.microsoft.com/office/word/2010/wordml">
      <w:pPr>
        <w:pStyle w:val="TableCaption"/>
        <w:jc w:val="center"/>
        <w:keepNext/>
      </w:pPr>
      <w:r>
        <w:rPr>
          <w:rFonts/>
          <w:b w:val="false"/>
        </w:rPr>
        <w:t xml:space="preserve">Table  </w:t>
      </w:r>
      <w:bookmarkStart w:id="b6d50e15-ed72-4aba-9ec1-d868398e0bf9" w:name="mtcarsflex"/>
      <w:r>
        <w:rPr>
          <w:rFonts/>
          <w:b w:val="false"/>
        </w:rPr>
        <w:fldChar w:fldCharType="begin" w:dirty="true"/>
      </w:r>
      <w:r>
        <w:rPr>
          <w:rFonts/>
          <w:b w:val="false"/>
        </w:rPr>
        <w:instrText xml:space="preserve" w:dirty="true">SEQ tab \* Arabic</w:instrText>
      </w:r>
      <w:r>
        <w:rPr>
          <w:rFonts/>
          <w:b w:val="false"/>
        </w:rPr>
        <w:fldChar w:fldCharType="end" w:dirty="true"/>
      </w:r>
      <w:bookmarkEnd w:id="b6d50e15-ed72-4aba-9ec1-d868398e0bf9"/>
      <w:r>
        <w:rPr>
          <w:rFonts/>
          <w:b w:val="false"/>
        </w:rPr>
        <w:t xml:space="preserve">.  </w:t>
      </w:r>
      <w:r>
        <w:t xml:space="preserve">flextable formatted table.</w:t>
      </w:r>
    </w:p>
    <w:tbl xmlns:w14="http://schemas.microsoft.com/office/word/2010/wordml">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mpg</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cyl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disp</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hp</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drat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wt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qsec</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vs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gear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carb</w:t>
            </w:r>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2.620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16.46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w:t>
            </w:r>
          </w:p>
        </w:tc>
      </w:tr>
      <w:tr>
        <w:trPr>
          <w:trHeight w:val="360" w:hRule="auto"/>
        </w:trPr>
        body10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167.6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3.440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w:t>
            </w:r>
          </w:p>
        </w:tc>
      </w:tr>
    </w:tbl>
    <w:bookmarkEnd w:id="30"/>
    <w:bookmarkStart w:id="31" w:name="figures"/>
    <w:p>
      <w:pPr>
        <w:pStyle w:val="Heading1"/>
      </w:pPr>
      <w:r>
        <w:t xml:space="preserve">Figures</w:t>
      </w:r>
    </w:p>
    <w:p>
      <w:pPr>
        <w:pStyle w:val="FirstParagraph"/>
      </w:pPr>
      <w:r>
        <w:t xml:space="preserve">We can embed and cross-reference plots (Figure</w:t>
      </w:r>
      <w:r>
        <w:t xml:space="preserve"> </w:t>
      </w:r>
      <w:hyperlink w:anchor="pressure">
        <w:r xmlns:w14="http://schemas.microsoft.com/office/word/2010/wordml">
          <w:rPr/>
          <w:fldChar w:fldCharType="begin" w:dirty="true"/>
        </w:r>
        <w:r xmlns:w14="http://schemas.microsoft.com/office/word/2010/wordml">
          <w:rPr/>
          <w:instrText xml:space="preserve" w:dirty="true"> REF pressure \h</w:instrText>
        </w:r>
        <w:r xmlns:w14="http://schemas.microsoft.com/office/word/2010/wordml">
          <w:rPr/>
          <w:fldChar w:fldCharType="end" w:dirty="true"/>
        </w:r>
      </w:hyperlink>
      <w:r>
        <w:t xml:space="preserve">).</w:t>
      </w:r>
    </w:p>
    <w:p>
      <w:pPr>
        <w:jc w:val="center"/>
        <w:pStyle w:val="Normal"/>
      </w:pPr>
      <w:r>
        <w:rPr/>
        <w:drawing>
          <wp:inline distT="0" distB="0" distL="0" distR="0">
            <wp:extent cx="5486400" cy="3657600"/>
            <wp:docPr id="5" name="" descr="Alternative text for screen readers"/>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99"/>
                    <a:srcRect/>
                    <a:stretch>
                      <a:fillRect/>
                    </a:stretch>
                  </pic:blipFill>
                  <pic:spPr bwMode="auto">
                    <a:xfrm>
                      <a:off x="0" y="0"/>
                      <a:ext cx="76200" cy="50800"/>
                    </a:xfrm>
                    <a:prstGeom prst="rect">
                      <a:avLst/>
                    </a:prstGeom>
                    <a:noFill/>
                  </pic:spPr>
                </pic:pic>
              </a:graphicData>
            </a:graphic>
          </wp:inline>
        </w:drawing>
      </w:r>
    </w:p>
    <w:p>
      <w:pPr>
        <w:pStyle w:val="ImageCaption"/>
      </w:pPr>
      <w:r>
        <w:rPr>
          <w:rFonts/>
          <w:b w:val="false"/>
        </w:rPr>
        <w:t xml:space="preserve">Figure </w:t>
      </w:r>
      <w:bookmarkStart w:id="29295324-e4d3-4fe4-817e-29089c716262" w:name="pressure"/>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29295324-e4d3-4fe4-817e-29089c716262"/>
      <w:r>
        <w:rPr>
          <w:rFonts/>
          <w:b w:val="false"/>
        </w:rPr>
        <w:t xml:space="preserve">. </w:t>
      </w:r>
      <w:r>
        <w:t xml:space="preserve">pressure dataset</w:t>
      </w:r>
    </w:p>
    <w:p>
      <w:pPr>
        <w:sectPr>
          <w:type w:val="nextPage"/>
          <w:footerReference r:id="rId9" w:type="default"/>
          <w:cols/>
          <w:pgSz w:h="16848" w:w="11952" w:orient="portrait"/>
          <w:pgMar w:header="720" w:bottom="1800" w:top="1800" w:right="720" w:left="720" w:footer="720" w:gutter="720"/>
        </w:sectPr>
      </w:pPr>
    </w:p>
    <w:p>
      <w:pPr>
        <w:sectPr>
          <w:type w:val="continuous"/>
          <w:footerReference r:id="rId9" w:type="default"/>
          <w:cols/>
          <w:pgSz w:h="16848" w:w="11952" w:orient="portrait"/>
          <w:pgMar w:header="720" w:bottom="1800" w:top="1800" w:right="720" w:left="720" w:footer="720" w:gutter="720"/>
        </w:sectPr>
      </w:pPr>
    </w:p>
    <w:bookmarkEnd w:id="31"/>
    <w:bookmarkStart w:id="32" w:name="landscape-section"/>
    <w:p>
      <w:pPr>
        <w:pStyle w:val="Heading1"/>
      </w:pPr>
      <w:r>
        <w:t xml:space="preserve">Landscape Section</w:t>
      </w:r>
    </w:p>
    <w:p>
      <w:pPr>
        <w:jc w:val="center"/>
        <w:pStyle w:val="Normal"/>
      </w:pPr>
      <w:r>
        <w:rPr/>
        <w:drawing>
          <wp:inline distT="0" distB="0" distL="0" distR="0">
            <wp:extent cx="54864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00"/>
                    <a:srcRect/>
                    <a:stretch>
                      <a:fillRect/>
                    </a:stretch>
                  </pic:blipFill>
                  <pic:spPr bwMode="auto">
                    <a:xfrm>
                      <a:off x="0" y="0"/>
                      <a:ext cx="76200" cy="50800"/>
                    </a:xfrm>
                    <a:prstGeom prst="rect">
                      <a:avLst/>
                    </a:prstGeom>
                    <a:noFill/>
                  </pic:spPr>
                </pic:pic>
              </a:graphicData>
            </a:graphic>
          </wp:inline>
        </w:drawing>
      </w:r>
    </w:p>
    <w:p>
      <w:pPr>
        <w:pStyle w:val="ImageCaption"/>
      </w:pPr>
      <w:r>
        <w:rPr>
          <w:rFonts/>
          <w:b w:val="false"/>
        </w:rPr>
        <w:t xml:space="preserve">Figure </w:t>
      </w:r>
      <w:bookmarkStart w:id="8aecce67-71f3-4785-9669-f3ceda1e21f8" w:name="sinu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8aecce67-71f3-4785-9669-f3ceda1e21f8"/>
      <w:r>
        <w:rPr>
          <w:rFonts/>
          <w:b w:val="false"/>
        </w:rPr>
        <w:t xml:space="preserve">. </w:t>
      </w:r>
      <w:r>
        <w:t xml:space="preserve">sin function</w:t>
      </w:r>
    </w:p>
    <w:p>
      <w:pPr>
        <w:sectPr>
          <w:pgSz w:h="11906" w:w="16838" w:orient="landscape"/>
          <w:footerReference r:id="rId9" w:type="default"/>
          <w:type w:val="oddPage"/>
          <w:cols/>
          <w:pgMar w:header="720" w:bottom="1800" w:top="1800" w:right="720" w:left="720" w:footer="720" w:gutter="720"/>
        </w:sectPr>
      </w:pPr>
    </w:p>
    <w:bookmarkEnd w:id="32"/>
    <w:bookmarkStart w:id="33" w:name="math"/>
    <w:p>
      <w:pPr>
        <w:pStyle w:val="Heading1"/>
      </w:pPr>
      <w:r>
        <w:t xml:space="preserve">Math</w:t>
      </w:r>
    </w:p>
    <w:p>
      <w:pPr>
        <w:pStyle w:val="FirstParagraph"/>
      </w:pPr>
      <w:r>
        <w:t xml:space="preserve">Wrap variables or math in a single</w:t>
      </w:r>
      <w:r>
        <w:t xml:space="preserve"> </w:t>
      </w:r>
      <w:r>
        <w:rPr>
          <w:rStyle w:val="VerbatimChar"/>
        </w:rPr>
        <w:t xml:space="preserve">$</w:t>
      </w:r>
      <w:r>
        <w:t xml:space="preserve"> </w:t>
      </w:r>
      <w:r>
        <w:t xml:space="preserve">to show math inline. For example,</w:t>
      </w:r>
      <w:r>
        <w:t xml:space="preserve"> </w:t>
      </w:r>
      <m:oMath>
        <m:r>
          <m:t>ε</m:t>
        </m:r>
        <m:r>
          <m:rPr>
            <m:sty m:val="p"/>
          </m:rPr>
          <m:t>∼</m:t>
        </m:r>
        <m:r>
          <m:rPr>
            <m:sty m:val="p"/>
          </m:rPr>
          <m:t>N</m:t>
        </m:r>
        <m:d>
          <m:dPr>
            <m:begChr m:val="("/>
            <m:endChr m:val=")"/>
            <m:sepChr m:val=""/>
            <m:grow/>
          </m:dPr>
          <m:e>
            <m:r>
              <m:t>0</m:t>
            </m:r>
            <m:r>
              <m:rPr>
                <m:sty m:val="p"/>
              </m:rPr>
              <m:t>,</m:t>
            </m:r>
            <m:r>
              <m:t>1</m:t>
            </m:r>
          </m:e>
        </m:d>
      </m:oMath>
      <w:r>
        <w:t xml:space="preserve">. Standalone equations are wrapped with</w:t>
      </w:r>
      <w:r>
        <w:t xml:space="preserve"> </w:t>
      </w:r>
      <w:r>
        <w:rPr>
          <w:rStyle w:val="VerbatimChar"/>
        </w:rPr>
        <w:t xml:space="preserve">$$</w:t>
      </w:r>
      <w:r>
        <w:t xml:space="preserve">.</w:t>
      </w:r>
    </w:p>
    <w:p>
      <w:pPr>
        <w:pStyle w:val="BodyText"/>
      </w:pPr>
      <m:oMathPara>
        <m:oMathParaPr>
          <m:jc m:val="center"/>
        </m:oMathParaPr>
        <m:oMath>
          <m:sSup>
            <m:e>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e>
              </m:d>
            </m:e>
            <m:sup>
              <m:f>
                <m:fPr>
                  <m:type m:val="bar"/>
                </m:fPr>
                <m:num>
                  <m:r>
                    <m:t>1</m:t>
                  </m:r>
                </m:num>
                <m:den>
                  <m:r>
                    <m:t>n</m:t>
                  </m:r>
                </m:den>
              </m:f>
            </m:sup>
          </m:sSup>
          <m:r>
            <m:rPr>
              <m:sty m:val="p"/>
            </m:rPr>
            <m:t>=</m:t>
          </m:r>
          <m:r>
            <m:rPr>
              <m:sty m:val="p"/>
            </m:rPr>
            <m:t>exp</m:t>
          </m:r>
          <m:d>
            <m:dPr>
              <m:begChr m:val="["/>
              <m:endChr m:val="]"/>
              <m:sepChr m:val=""/>
              <m:grow/>
            </m:dPr>
            <m:e>
              <m:f>
                <m:fPr>
                  <m:type m:val="bar"/>
                </m:fPr>
                <m:num>
                  <m:r>
                    <m:t>1</m:t>
                  </m:r>
                </m:num>
                <m:den>
                  <m:r>
                    <m:t>n</m:t>
                  </m:r>
                </m:den>
              </m:f>
              <m:nary>
                <m:naryPr>
                  <m:chr m:val="∑"/>
                  <m:limLoc m:val="undOvr"/>
                  <m:subHide m:val="0"/>
                  <m:supHide m:val="0"/>
                </m:naryPr>
                <m:sub>
                  <m:r>
                    <m:t>i</m:t>
                  </m:r>
                  <m:r>
                    <m:rPr>
                      <m:sty m:val="p"/>
                    </m:rPr>
                    <m:t>=</m:t>
                  </m:r>
                  <m:r>
                    <m:t>1</m:t>
                  </m:r>
                </m:sub>
                <m:sup>
                  <m:r>
                    <m:t>n</m:t>
                  </m:r>
                </m:sup>
                <m:e>
                  <m:r>
                    <m:rPr>
                      <m:sty m:val="p"/>
                    </m:rPr>
                    <m:t>log</m:t>
                  </m:r>
                </m:e>
              </m:nary>
              <m:sSub>
                <m:e>
                  <m:r>
                    <m:t>y</m:t>
                  </m:r>
                </m:e>
                <m:sub>
                  <m:r>
                    <m:t>i</m:t>
                  </m:r>
                </m:sub>
              </m:sSub>
            </m:e>
          </m:d>
          <m:r>
            <m:rPr>
              <m:sty m:val="p"/>
            </m:rPr>
            <m:t>,</m:t>
          </m:r>
          <m:r>
            <m:t> </m:t>
          </m:r>
          <m:r>
            <m:rPr>
              <m:nor/>
              <m:sty m:val="p"/>
            </m:rPr>
            <m:t>when</m:t>
          </m:r>
          <m:r>
            <m:t> </m:t>
          </m:r>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n</m:t>
              </m:r>
            </m:sub>
          </m:sSub>
          <m:r>
            <m:rPr>
              <m:sty m:val="p"/>
            </m:rPr>
            <m:t>&gt;</m:t>
          </m:r>
          <m:r>
            <m:t>0</m:t>
          </m:r>
        </m:oMath>
      </m:oMathPara>
    </w:p>
    <w:p>
      <w:pPr>
        <w:pStyle w:val="FirstParagraph"/>
      </w:pPr>
      <w:r>
        <w:t xml:space="preserve">If the equations need to be numbered and cross-referenced the format as:</w:t>
      </w:r>
    </w:p>
    <w:p>
      <w:pPr>
        <w:pStyle w:val="SourceCode"/>
      </w:pPr>
      <w:r>
        <w:rPr>
          <w:rStyle w:val="KeywordTok"/>
        </w:rPr>
        <w:t xml:space="preserve">\begin</w:t>
      </w:r>
      <w:r>
        <w:rPr>
          <w:rStyle w:val="NormalTok"/>
        </w:rPr>
        <w:t xml:space="preserve">{</w:t>
      </w:r>
      <w:r>
        <w:rPr>
          <w:rStyle w:val="ExtensionTok"/>
        </w:rPr>
        <w:t xml:space="preserve">equation</w:t>
      </w:r>
      <w:r>
        <w:rPr>
          <w:rStyle w:val="NormalTok"/>
        </w:rPr>
        <w:t xml:space="preserve">}</w:t>
      </w:r>
      <w:r>
        <w:br/>
      </w:r>
      <w:r>
        <w:rPr>
          <w:rStyle w:val="SpecialCharTok"/>
        </w:rPr>
        <w:t xml:space="preserve">\left</w:t>
      </w:r>
      <w:r>
        <w:rPr>
          <w:rStyle w:val="SpecialStringTok"/>
        </w:rPr>
        <w:t xml:space="preserve">(</w:t>
      </w:r>
      <w:r>
        <w:rPr>
          <w:rStyle w:val="SpecialCharTok"/>
        </w:rPr>
        <w:t xml:space="preserve">\prod</w:t>
      </w:r>
      <w:r>
        <w:rPr>
          <w:rStyle w:val="SpecialStringTok"/>
        </w:rPr>
        <w:t xml:space="preserve">_{i=1}^{n}y_i</w:t>
      </w:r>
      <w:r>
        <w:rPr>
          <w:rStyle w:val="SpecialCharTok"/>
        </w:rPr>
        <w:t xml:space="preserve">\right</w:t>
      </w:r>
      <w:r>
        <w:rPr>
          <w:rStyle w:val="SpecialStringTok"/>
        </w:rPr>
        <w:t xml:space="preserve">)^{</w:t>
      </w:r>
      <w:r>
        <w:rPr>
          <w:rStyle w:val="SpecialCharTok"/>
        </w:rPr>
        <w:t xml:space="preserve">\frac</w:t>
      </w:r>
      <w:r>
        <w:rPr>
          <w:rStyle w:val="SpecialStringTok"/>
        </w:rPr>
        <w:t xml:space="preserve">{1}{n}} = </w:t>
      </w:r>
      <w:r>
        <w:rPr>
          <w:rStyle w:val="SpecialCharTok"/>
        </w:rPr>
        <w:t xml:space="preserve">\exp\left</w:t>
      </w:r>
      <w:r>
        <w:rPr>
          <w:rStyle w:val="SpecialStringTok"/>
        </w:rPr>
        <w:t xml:space="preserve">[</w:t>
      </w:r>
      <w:r>
        <w:rPr>
          <w:rStyle w:val="SpecialCharTok"/>
        </w:rPr>
        <w:t xml:space="preserve">\frac</w:t>
      </w:r>
      <w:r>
        <w:rPr>
          <w:rStyle w:val="SpecialStringTok"/>
        </w:rPr>
        <w:t xml:space="preserve">{1}{n}</w:t>
      </w:r>
      <w:r>
        <w:rPr>
          <w:rStyle w:val="SpecialCharTok"/>
        </w:rPr>
        <w:t xml:space="preserve">\sum</w:t>
      </w:r>
      <w:r>
        <w:rPr>
          <w:rStyle w:val="SpecialStringTok"/>
        </w:rPr>
        <w:t xml:space="preserve">_{i=1}^n</w:t>
      </w:r>
      <w:r>
        <w:rPr>
          <w:rStyle w:val="SpecialCharTok"/>
        </w:rPr>
        <w:t xml:space="preserve">\log</w:t>
      </w:r>
      <w:r>
        <w:rPr>
          <w:rStyle w:val="SpecialStringTok"/>
        </w:rPr>
        <w:t xml:space="preserve">{y_i}</w:t>
      </w:r>
      <w:r>
        <w:rPr>
          <w:rStyle w:val="SpecialCharTok"/>
        </w:rPr>
        <w:t xml:space="preserve">\right</w:t>
      </w:r>
      <w:r>
        <w:rPr>
          <w:rStyle w:val="SpecialStringTok"/>
        </w:rPr>
        <w:t xml:space="preserve">], </w:t>
      </w:r>
      <w:r>
        <w:rPr>
          <w:rStyle w:val="SpecialCharTok"/>
        </w:rPr>
        <w:t xml:space="preserve">\quad</w:t>
      </w:r>
      <w:r>
        <w:rPr>
          <w:rStyle w:val="SpecialStringTok"/>
        </w:rPr>
        <w:t xml:space="preserve"> </w:t>
      </w:r>
      <w:r>
        <w:rPr>
          <w:rStyle w:val="SpecialCharTok"/>
        </w:rPr>
        <w:t xml:space="preserve">\textrm</w:t>
      </w:r>
      <w:r>
        <w:rPr>
          <w:rStyle w:val="NormalTok"/>
        </w:rPr>
        <w:t xml:space="preserve">{when}</w:t>
      </w:r>
      <w:r>
        <w:rPr>
          <w:rStyle w:val="SpecialStringTok"/>
        </w:rPr>
        <w:t xml:space="preserve"> </w:t>
      </w:r>
      <w:r>
        <w:rPr>
          <w:rStyle w:val="SpecialCharTok"/>
        </w:rPr>
        <w:t xml:space="preserve">\quad</w:t>
      </w:r>
      <w:r>
        <w:rPr>
          <w:rStyle w:val="SpecialStringTok"/>
        </w:rPr>
        <w:t xml:space="preserve"> y_1, y_2, ..., y_n &gt; 0</w:t>
      </w:r>
      <w:r>
        <w:br/>
      </w:r>
      <w:r>
        <w:rPr>
          <w:rStyle w:val="SpecialStringTok"/>
        </w:rPr>
        <w:t xml:space="preserve">(</w:t>
      </w:r>
      <w:r>
        <w:rPr>
          <w:rStyle w:val="SpecialCharTok"/>
        </w:rPr>
        <w:t xml:space="preserve">\#</w:t>
      </w:r>
      <w:r>
        <w:rPr>
          <w:rStyle w:val="SpecialStringTok"/>
        </w:rPr>
        <w:t xml:space="preserve">eq:gmean)</w:t>
      </w:r>
      <w:r>
        <w:br/>
      </w:r>
      <w:r>
        <w:rPr>
          <w:rStyle w:val="KeywordTok"/>
        </w:rPr>
        <w:t xml:space="preserve">\end</w:t>
      </w:r>
      <w:r>
        <w:rPr>
          <w:rStyle w:val="NormalTok"/>
        </w:rPr>
        <w:t xml:space="preserve">{</w:t>
      </w:r>
      <w:r>
        <w:rPr>
          <w:rStyle w:val="ExtensionTok"/>
        </w:rPr>
        <w:t xml:space="preserve">equation</w:t>
      </w:r>
      <w:r>
        <w:rPr>
          <w:rStyle w:val="NormalTok"/>
        </w:rPr>
        <w:t xml:space="preserve">}</w:t>
      </w:r>
    </w:p>
    <w:p>
      <w:pPr>
        <w:pStyle w:val="FirstParagraph"/>
      </w:pPr>
      <w:r>
        <w:t xml:space="preserve">Which renders as (Equation (8):</w:t>
      </w:r>
    </w:p>
    <w:p>
      <w:pPr>
        <w:pStyle w:val="BodyText"/>
      </w:pPr>
      <m:oMathPara>
        <m:oMathParaPr>
          <m:jc m:val="center"/>
        </m:oMathParaPr>
        <m:oMath>
          <m:sSup>
            <m:e>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e>
              </m:d>
            </m:e>
            <m:sup>
              <m:f>
                <m:fPr>
                  <m:type m:val="bar"/>
                </m:fPr>
                <m:num>
                  <m:r>
                    <m:t>1</m:t>
                  </m:r>
                </m:num>
                <m:den>
                  <m:r>
                    <m:t>n</m:t>
                  </m:r>
                </m:den>
              </m:f>
            </m:sup>
          </m:sSup>
          <m:r>
            <m:rPr>
              <m:sty m:val="p"/>
            </m:rPr>
            <m:t>=</m:t>
          </m:r>
          <m:r>
            <m:rPr>
              <m:sty m:val="p"/>
            </m:rPr>
            <m:t>exp</m:t>
          </m:r>
          <m:d>
            <m:dPr>
              <m:begChr m:val="["/>
              <m:endChr m:val="]"/>
              <m:sepChr m:val=""/>
              <m:grow/>
            </m:dPr>
            <m:e>
              <m:f>
                <m:fPr>
                  <m:type m:val="bar"/>
                </m:fPr>
                <m:num>
                  <m:r>
                    <m:t>1</m:t>
                  </m:r>
                </m:num>
                <m:den>
                  <m:r>
                    <m:t>n</m:t>
                  </m:r>
                </m:den>
              </m:f>
              <m:nary>
                <m:naryPr>
                  <m:chr m:val="∑"/>
                  <m:limLoc m:val="undOvr"/>
                  <m:subHide m:val="0"/>
                  <m:supHide m:val="0"/>
                </m:naryPr>
                <m:sub>
                  <m:r>
                    <m:t>i</m:t>
                  </m:r>
                  <m:r>
                    <m:rPr>
                      <m:sty m:val="p"/>
                    </m:rPr>
                    <m:t>=</m:t>
                  </m:r>
                  <m:r>
                    <m:t>1</m:t>
                  </m:r>
                </m:sub>
                <m:sup>
                  <m:r>
                    <m:t>n</m:t>
                  </m:r>
                </m:sup>
                <m:e>
                  <m:r>
                    <m:rPr>
                      <m:sty m:val="p"/>
                    </m:rPr>
                    <m:t>log</m:t>
                  </m:r>
                </m:e>
              </m:nary>
              <m:sSub>
                <m:e>
                  <m:r>
                    <m:t>y</m:t>
                  </m:r>
                </m:e>
                <m:sub>
                  <m:r>
                    <m:t>i</m:t>
                  </m:r>
                </m:sub>
              </m:sSub>
            </m:e>
          </m:d>
          <m:r>
            <m:rPr>
              <m:sty m:val="p"/>
            </m:rPr>
            <m:t>,</m:t>
          </m:r>
          <m:r>
            <m:t> </m:t>
          </m:r>
          <m:r>
            <m:rPr>
              <m:nor/>
              <m:sty m:val="p"/>
            </m:rPr>
            <m:t>when</m:t>
          </m:r>
          <m:r>
            <m:t> </m:t>
          </m:r>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n</m:t>
              </m:r>
            </m:sub>
          </m:sSub>
          <m:r>
            <m:rPr>
              <m:sty m:val="p"/>
            </m:rPr>
            <m:t>&gt;</m:t>
          </m:r>
          <m:r>
            <m:t>0</m:t>
          </m:r>
          <m:r>
            <m:t>  </m:t>
          </m:r>
          <m:d>
            <m:dPr>
              <m:begChr m:val="("/>
              <m:endChr m:val=")"/>
              <m:sepChr m:val=""/>
              <m:grow/>
            </m:dPr>
            <m:e>
              <m:r>
                <m:t>8</m:t>
              </m:r>
            </m:e>
          </m:d>
        </m:oMath>
      </m:oMathPara>
    </w:p>
    <w:bookmarkEnd w:id="33"/>
    <w:bookmarkStart w:id="34" w:name="references"/>
    <w:p>
      <w:pPr>
        <w:pStyle w:val="Heading1"/>
      </w:pPr>
      <w:r>
        <w:t xml:space="preserve">References</w:t>
      </w:r>
    </w:p>
    <w:p>
      <w:pPr>
        <w:pStyle w:val="FirstParagraph"/>
      </w:pPr>
      <w:r>
        <w:t xml:space="preserve">In-text references and bibliography generation are handled automatically. It relies on creating a bibtex</w:t>
      </w:r>
      <w:r>
        <w:t xml:space="preserve"> </w:t>
      </w:r>
      <w:r>
        <w:rPr>
          <w:rStyle w:val="VerbatimChar"/>
        </w:rPr>
        <w:t xml:space="preserve">.bib</w:t>
      </w:r>
      <w:r>
        <w:t xml:space="preserve"> </w:t>
      </w:r>
      <w:r>
        <w:t xml:space="preserve">file with your references. Software such as Zotero, Mendely, and even Google Scholar can generate the bibtex entries for you. The entries are stored in the</w:t>
      </w:r>
      <w:r>
        <w:t xml:space="preserve"> </w:t>
      </w:r>
      <w:r>
        <w:rPr>
          <w:rStyle w:val="VerbatimChar"/>
        </w:rPr>
        <w:t xml:space="preserve">bibliography.bib</w:t>
      </w:r>
      <w:r>
        <w:t xml:space="preserve"> </w:t>
      </w:r>
      <w:r>
        <w:t xml:space="preserve">file inside the same directory as this</w:t>
      </w:r>
      <w:r>
        <w:t xml:space="preserve"> </w:t>
      </w:r>
      <w:r>
        <w:rPr>
          <w:rStyle w:val="VerbatimChar"/>
        </w:rPr>
        <w:t xml:space="preserve">.Rmd</w:t>
      </w:r>
      <w:r>
        <w:t xml:space="preserve"> </w:t>
      </w:r>
      <w:r>
        <w:t xml:space="preserve">file. To make a in text citation, use the following syntax,</w:t>
      </w:r>
      <w:r>
        <w:t xml:space="preserve"> </w:t>
      </w:r>
      <w:r>
        <w:rPr>
          <w:rStyle w:val="VerbatimChar"/>
        </w:rPr>
        <w:t xml:space="preserve">[@helsel_statistical_2002]</w:t>
      </w:r>
      <w:r>
        <w:t xml:space="preserve"> </w:t>
      </w:r>
      <w:r>
        <w:t xml:space="preserve">to generate the reference at the end of this sentence</w:t>
      </w:r>
      <w:r>
        <w:t xml:space="preserve"> </w:t>
      </w:r>
      <w:r>
        <w:t xml:space="preserve">(</w:t>
      </w:r>
      <w:r>
        <w:rPr>
          <w:bCs/>
          <w:b/>
        </w:rPr>
        <w:t xml:space="preserve">helsel_statistical_2002?</w:t>
      </w:r>
      <w:r>
        <w:t xml:space="preserve">)</w:t>
      </w:r>
      <w:r>
        <w:t xml:space="preserve">. Use a semicolon to include multiple references</w:t>
      </w:r>
      <w:r>
        <w:t xml:space="preserve"> </w:t>
      </w:r>
      <w:r>
        <w:rPr>
          <w:rStyle w:val="VerbatimChar"/>
        </w:rPr>
        <w:t xml:space="preserve">[@helsel_statistical_2002; @hirsch2010weighted]</w:t>
      </w:r>
      <w:r>
        <w:t xml:space="preserve"> </w:t>
      </w:r>
      <w:r>
        <w:t xml:space="preserve">(</w:t>
      </w:r>
      <w:r>
        <w:rPr>
          <w:bCs/>
          <w:b/>
        </w:rPr>
        <w:t xml:space="preserve">helsel_statistical_2002?</w:t>
      </w:r>
      <w:r>
        <w:t xml:space="preserve">;</w:t>
      </w:r>
      <w:r>
        <w:t xml:space="preserve"> </w:t>
      </w:r>
      <w:r>
        <w:rPr>
          <w:bCs/>
          <w:b/>
        </w:rPr>
        <w:t xml:space="preserve">hirsch2010weighted?</w:t>
      </w:r>
      <w:r>
        <w:t xml:space="preserve">)</w:t>
      </w:r>
      <w:r>
        <w:t xml:space="preserve">. Or we might use</w:t>
      </w:r>
      <w:r>
        <w:t xml:space="preserve"> </w:t>
      </w:r>
      <w:r>
        <w:rPr>
          <w:rStyle w:val="VerbatimChar"/>
        </w:rPr>
        <w:t xml:space="preserve">@helsel_statistical_2002</w:t>
      </w:r>
      <w:r>
        <w:t xml:space="preserve"> </w:t>
      </w:r>
      <w:r>
        <w:t xml:space="preserve">without brackets to indicate</w:t>
      </w:r>
      <w:r>
        <w:t xml:space="preserve"> </w:t>
      </w:r>
      <w:r>
        <w:t xml:space="preserve">(</w:t>
      </w:r>
      <w:r>
        <w:rPr>
          <w:bCs/>
          <w:b/>
        </w:rPr>
        <w:t xml:space="preserve">helsel_statistical_2002?</w:t>
      </w:r>
      <w:r>
        <w:t xml:space="preserve">)</w:t>
      </w:r>
      <w:r>
        <w:t xml:space="preserve"> </w:t>
      </w:r>
      <w:r>
        <w:t xml:space="preserve">provide a fundamental overview of water quality statistics. The bibliography will populate automatically.</w:t>
      </w:r>
    </w:p>
    <w:bookmarkEnd w:id="34"/>
    <w:bookmarkStart w:id="36" w:name="styling-and-fonts"/>
    <w:p>
      <w:pPr>
        <w:pStyle w:val="Heading1"/>
      </w:pPr>
      <w:r>
        <w:t xml:space="preserve">Styling and fonts</w:t>
      </w:r>
    </w:p>
    <w:p>
      <w:pPr>
        <w:pStyle w:val="FirstParagraph"/>
      </w:pPr>
      <w:r>
        <w:t xml:space="preserve">This template uses Minion Pro for body fonts and Open Sans for headings following TWRI brand guidance and AgriLife brand guidance. I can’t bundle Minion Pro in this package because of licensing, but you can download and install both fonts from AgriLife (</w:t>
      </w:r>
      <w:hyperlink r:id="rId35">
        <w:r>
          <w:rPr>
            <w:rStyle w:val="Hyperlink"/>
          </w:rPr>
          <w:t xml:space="preserve">https://agrilife.tamu.edu/wp-content/uploads/2021/03/AgriFonts.zip</w:t>
        </w:r>
      </w:hyperlink>
      <w:r>
        <w:t xml:space="preserve">). I recommend downloading and installing the fonts before knitting your documents. Note that Minion Pro won’t</w:t>
      </w:r>
      <w:r>
        <w:t xml:space="preserve"> </w:t>
      </w:r>
      <w:r>
        <w:t xml:space="preserve">“</w:t>
      </w:r>
      <w:r>
        <w:t xml:space="preserve">embed</w:t>
      </w:r>
      <w:r>
        <w:t xml:space="preserve">”</w:t>
      </w:r>
      <w:r>
        <w:t xml:space="preserve"> </w:t>
      </w:r>
      <w:r>
        <w:t xml:space="preserve">in Word documents because it is an OTF style font and currently Word only embeds TTF fonts. That means collaborators without the font installed on their system will see a different serif font on their system in Word. Once exported to pdf, both OTF and TTF fonts should be embedded correctly.</w:t>
      </w:r>
    </w:p>
    <w:bookmarkEnd w:id="36"/>
    <w:bookmarkStart w:id="100" w:name="bibliography"/>
    <w:p>
      <w:pPr>
        <w:pStyle w:val="Heading1"/>
      </w:pPr>
      <w:r>
        <w:t xml:space="preserve">Bibliography</w:t>
      </w:r>
    </w:p>
    <w:bookmarkStart w:id="99" w:name="refs"/>
    <w:bookmarkStart w:id="38" w:name="X1fc50e745b270a3dfdcdc4d4c41a3cccbb995ce"/>
    <w:p>
      <w:pPr>
        <w:pStyle w:val="Bibliography"/>
      </w:pPr>
      <w:r>
        <w:t xml:space="preserve">Beck MW, Murphy RR. 2017. Numerical and qualitative contrasts of two statistical models for water quality change in tidal waters. JAWRA Journal of the American Water Resources Association. 53(1):197–219. doi:</w:t>
      </w:r>
      <w:hyperlink r:id="rId37">
        <w:r>
          <w:rPr>
            <w:rStyle w:val="Hyperlink"/>
          </w:rPr>
          <w:t xml:space="preserve">10.1111/1752-1688.12489</w:t>
        </w:r>
      </w:hyperlink>
      <w:r>
        <w:t xml:space="preserve">.</w:t>
      </w:r>
    </w:p>
    <w:bookmarkEnd w:id="38"/>
    <w:bookmarkStart w:id="40" w:name="X73e4b776a172eaf21ab8480ef1be12b66553e20"/>
    <w:p>
      <w:pPr>
        <w:pStyle w:val="Bibliography"/>
      </w:pPr>
      <w:r>
        <w:t xml:space="preserve">Bergbusch NT, Hayes NM, Simpson GL, Leavitt PR. 2021. Unexpected shift from phytoplankton to periphyton in eutrophic streams due to wastewater influx. Limnol Oceanogr. 66(7):2745–2761. doi:</w:t>
      </w:r>
      <w:hyperlink r:id="rId39">
        <w:r>
          <w:rPr>
            <w:rStyle w:val="Hyperlink"/>
          </w:rPr>
          <w:t xml:space="preserve">10.1002/lno.11786</w:t>
        </w:r>
      </w:hyperlink>
      <w:r>
        <w:t xml:space="preserve">.</w:t>
      </w:r>
    </w:p>
    <w:bookmarkEnd w:id="40"/>
    <w:bookmarkStart w:id="42" w:name="X933afeb8202f449a77a0a231e80f2f32cdf12b7"/>
    <w:p>
      <w:pPr>
        <w:pStyle w:val="Bibliography"/>
      </w:pPr>
      <w:r>
        <w:t xml:space="preserve">Beseres Pollack J, Palmer T, Montagna P. 2011. Long-term trends in the response of benthic macrofauna to climate variability in the Lavaca-Colorado Estuary, Texas. Mar Ecol Prog Ser. 436:67–80. doi:</w:t>
      </w:r>
      <w:hyperlink r:id="rId41">
        <w:r>
          <w:rPr>
            <w:rStyle w:val="Hyperlink"/>
          </w:rPr>
          <w:t xml:space="preserve">10.3354/meps09267</w:t>
        </w:r>
      </w:hyperlink>
      <w:r>
        <w:t xml:space="preserve">.</w:t>
      </w:r>
    </w:p>
    <w:bookmarkEnd w:id="42"/>
    <w:bookmarkStart w:id="44" w:name="ref-biagi_novel_2022"/>
    <w:p>
      <w:pPr>
        <w:pStyle w:val="Bibliography"/>
      </w:pPr>
      <w:r>
        <w:t xml:space="preserve">Biagi KM, Ross CA, Oswald CJ, Sorichetti RJ, Thomas JL, Wellen CC. 2022. Novel predictors related to hysteresis and baseflow improve predictions of watershed nutrient loads: An example from Ontario’s lower Great Lakes basin. Science of The Total Environment. 826:154023. doi:</w:t>
      </w:r>
      <w:hyperlink r:id="rId43">
        <w:r>
          <w:rPr>
            <w:rStyle w:val="Hyperlink"/>
          </w:rPr>
          <w:t xml:space="preserve">10.1016/j.scitotenv.2022.154023</w:t>
        </w:r>
      </w:hyperlink>
      <w:r>
        <w:t xml:space="preserve">.</w:t>
      </w:r>
    </w:p>
    <w:bookmarkEnd w:id="44"/>
    <w:bookmarkStart w:id="46" w:name="ref-brickerEffectsNutrientEnrichment2008"/>
    <w:p>
      <w:pPr>
        <w:pStyle w:val="Bibliography"/>
      </w:pPr>
      <w:r>
        <w:t xml:space="preserve">Bricker SB, Longstaff B, Dennison W, Jones A, Boicourt K, Wicks C, Woerner J. 2008. Effects of nutrient enrichment in the nation’s estuaries: A decade of change. Harmful Algae. 8(1):21–32. doi:</w:t>
      </w:r>
      <w:hyperlink r:id="rId45">
        <w:r>
          <w:rPr>
            <w:rStyle w:val="Hyperlink"/>
          </w:rPr>
          <w:t xml:space="preserve">10.1016/j.hal.2008.08.028</w:t>
        </w:r>
      </w:hyperlink>
      <w:r>
        <w:t xml:space="preserve">.</w:t>
      </w:r>
    </w:p>
    <w:bookmarkEnd w:id="46"/>
    <w:bookmarkStart w:id="48" w:name="ref-bugicaWaterQualityTrends2020"/>
    <w:p>
      <w:pPr>
        <w:pStyle w:val="Bibliography"/>
      </w:pPr>
      <w:r>
        <w:t xml:space="preserve">Bugica K, Sterba-Boatwright B, Wetz MS. 2020. Water quality trends in Texas estuaries. Marine Pollution Bulletin. 152:110903. doi:</w:t>
      </w:r>
      <w:hyperlink r:id="rId47">
        <w:r>
          <w:rPr>
            <w:rStyle w:val="Hyperlink"/>
          </w:rPr>
          <w:t xml:space="preserve">10.1016/j.marpolbul.2020.110903</w:t>
        </w:r>
      </w:hyperlink>
      <w:r>
        <w:t xml:space="preserve">.</w:t>
      </w:r>
    </w:p>
    <w:bookmarkEnd w:id="48"/>
    <w:bookmarkStart w:id="50" w:name="ref-burknerBrmsPackageBayesian2017"/>
    <w:p>
      <w:pPr>
        <w:pStyle w:val="Bibliography"/>
      </w:pPr>
      <w:r>
        <w:t xml:space="preserve">Bürkner P-C. 2017.</w:t>
      </w:r>
      <w:r>
        <w:t xml:space="preserve"> </w:t>
      </w:r>
      <w:r>
        <w:rPr>
          <w:bCs/>
          <w:b/>
        </w:rPr>
        <w:t xml:space="preserve">brms</w:t>
      </w:r>
      <w:r>
        <w:t xml:space="preserve"> </w:t>
      </w:r>
      <w:r>
        <w:t xml:space="preserve">: An</w:t>
      </w:r>
      <w:r>
        <w:t xml:space="preserve"> </w:t>
      </w:r>
      <w:r>
        <w:rPr>
          <w:iCs/>
          <w:i/>
        </w:rPr>
        <w:t xml:space="preserve">R</w:t>
      </w:r>
      <w:r>
        <w:t xml:space="preserve"> </w:t>
      </w:r>
      <w:r>
        <w:t xml:space="preserve">Package for Bayesian Multilevel Models Using</w:t>
      </w:r>
      <w:r>
        <w:t xml:space="preserve"> </w:t>
      </w:r>
      <w:r>
        <w:rPr>
          <w:iCs/>
          <w:i/>
        </w:rPr>
        <w:t xml:space="preserve">Stan</w:t>
      </w:r>
      <w:r>
        <w:t xml:space="preserve">. J Stat Soft. 80(1). doi:</w:t>
      </w:r>
      <w:hyperlink r:id="rId49">
        <w:r>
          <w:rPr>
            <w:rStyle w:val="Hyperlink"/>
          </w:rPr>
          <w:t xml:space="preserve">10.18637/jss.v080.i01</w:t>
        </w:r>
      </w:hyperlink>
      <w:r>
        <w:t xml:space="preserve">.</w:t>
      </w:r>
    </w:p>
    <w:bookmarkEnd w:id="50"/>
    <w:bookmarkStart w:id="52" w:name="ref-burmanComparativeStudyOrdinary1989"/>
    <w:p>
      <w:pPr>
        <w:pStyle w:val="Bibliography"/>
      </w:pPr>
      <w:r>
        <w:t xml:space="preserve">Burman P. 1989. A comparative study of ordinary cross-validation, v-fold cross-validation and the repeated learning-testing methods. Biometrika. 76(3):503–514. doi:</w:t>
      </w:r>
      <w:hyperlink r:id="rId51">
        <w:r>
          <w:rPr>
            <w:rStyle w:val="Hyperlink"/>
          </w:rPr>
          <w:t xml:space="preserve">10.1093/biomet/76.3.503</w:t>
        </w:r>
      </w:hyperlink>
      <w:r>
        <w:t xml:space="preserve">.</w:t>
      </w:r>
    </w:p>
    <w:bookmarkEnd w:id="52"/>
    <w:bookmarkStart w:id="54" w:name="ref-cohnValiditySimpleStatistical1992"/>
    <w:p>
      <w:pPr>
        <w:pStyle w:val="Bibliography"/>
      </w:pPr>
      <w:r>
        <w:t xml:space="preserve">Cohn TA, Caulder DL, Gilroy EJ, Zynjuk LD, Summers RM. 1992. The validity of a simple statistical model for estimating fluvial constituent loads: An Empirical study involving nutrient loads entering Chesapeake Bay. Water Resour Res. 28(9):2353–2363. doi:</w:t>
      </w:r>
      <w:hyperlink r:id="rId53">
        <w:r>
          <w:rPr>
            <w:rStyle w:val="Hyperlink"/>
          </w:rPr>
          <w:t xml:space="preserve">10.1029/92WR01008</w:t>
        </w:r>
      </w:hyperlink>
      <w:r>
        <w:t xml:space="preserve">.</w:t>
      </w:r>
    </w:p>
    <w:bookmarkEnd w:id="54"/>
    <w:bookmarkStart w:id="56" w:name="ref-darbyEffectsEutrophicationSalt2008"/>
    <w:p>
      <w:pPr>
        <w:pStyle w:val="Bibliography"/>
      </w:pPr>
      <w:r>
        <w:t xml:space="preserve">Darby F, Turner R. 2008. Effects of eutrophication on salt marsh root and rhizome biomass accumulation. Mar Ecol Prog Ser. 363:63–70. doi:</w:t>
      </w:r>
      <w:hyperlink r:id="rId55">
        <w:r>
          <w:rPr>
            <w:rStyle w:val="Hyperlink"/>
          </w:rPr>
          <w:t xml:space="preserve">10.3354/meps07423</w:t>
        </w:r>
      </w:hyperlink>
      <w:r>
        <w:t xml:space="preserve">.</w:t>
      </w:r>
    </w:p>
    <w:bookmarkEnd w:id="56"/>
    <w:bookmarkStart w:id="59" w:name="X710fec2cc08e9a2e30913de55e1704672d759b2"/>
    <w:p>
      <w:pPr>
        <w:pStyle w:val="Bibliography"/>
      </w:pPr>
      <w:r>
        <w:t xml:space="preserve">De Cicco LA, Hirsch RM, Lorenz DL, Watkins WD, Johnson M. 2022. dataRetrieval: R packages for discovering and retrieving water data available from Federal hydrologic web services. doi:</w:t>
      </w:r>
      <w:hyperlink r:id="rId57">
        <w:r>
          <w:rPr>
            <w:rStyle w:val="Hyperlink"/>
          </w:rPr>
          <w:t xml:space="preserve">10.5066/P9X4L3GE</w:t>
        </w:r>
      </w:hyperlink>
      <w:r>
        <w:t xml:space="preserve">.</w:t>
      </w:r>
      <w:r>
        <w:t xml:space="preserve"> </w:t>
      </w:r>
      <w:hyperlink r:id="rId58">
        <w:r>
          <w:rPr>
            <w:rStyle w:val="Hyperlink"/>
          </w:rPr>
          <w:t xml:space="preserve">https://code.usgs.gov/water/dataRetrieval</w:t>
        </w:r>
      </w:hyperlink>
      <w:r>
        <w:t xml:space="preserve">.</w:t>
      </w:r>
    </w:p>
    <w:bookmarkEnd w:id="59"/>
    <w:bookmarkStart w:id="61" w:name="ref-fangCenGAMCensoredRegression2017"/>
    <w:p>
      <w:pPr>
        <w:pStyle w:val="Bibliography"/>
      </w:pPr>
      <w:r>
        <w:t xml:space="preserve">Fang Z. 2017. cenGAM: Censored Regression with Smooth Terms.</w:t>
      </w:r>
      <w:r>
        <w:t xml:space="preserve"> </w:t>
      </w:r>
      <w:hyperlink r:id="rId60">
        <w:r>
          <w:rPr>
            <w:rStyle w:val="Hyperlink"/>
          </w:rPr>
          <w:t xml:space="preserve">https://CRAN.R-project.org/package=cenGAM</w:t>
        </w:r>
      </w:hyperlink>
      <w:r>
        <w:t xml:space="preserve">.</w:t>
      </w:r>
    </w:p>
    <w:bookmarkEnd w:id="61"/>
    <w:bookmarkStart w:id="63" w:name="X0cf7cacab557eaa11896a18f6e2f13564119159"/>
    <w:p>
      <w:pPr>
        <w:pStyle w:val="Bibliography"/>
      </w:pPr>
      <w:r>
        <w:t xml:space="preserve">Hagemann M, Asce SM, Kim D, Park MH. 2016. Estimating nutrient and organic carbon loads to water-supply reservoir using semiparametric models. J Environ Eng.:9. doi:</w:t>
      </w:r>
      <w:hyperlink r:id="rId62">
        <w:r>
          <w:rPr>
            <w:rStyle w:val="Hyperlink"/>
          </w:rPr>
          <w:t xml:space="preserve">10.1061/(ASCE)EE.1943-7870.0001077</w:t>
        </w:r>
      </w:hyperlink>
      <w:r>
        <w:t xml:space="preserve">.</w:t>
      </w:r>
    </w:p>
    <w:bookmarkEnd w:id="63"/>
    <w:bookmarkStart w:id="65" w:name="X8278e911248927517ca5c6c85388083cdb7782c"/>
    <w:p>
      <w:pPr>
        <w:pStyle w:val="Bibliography"/>
      </w:pPr>
      <w:r>
        <w:t xml:space="preserve">Heisler J, Glibert PM, Burkholder JM, Anderson DM, Cochlan W, Dennison WC, Dortch Q, Gobler CJ, Heil CA, Humphries E, et al. 2008. Eutrophication and harmful algal blooms: A scientific consensus. Harmful Algae. 8(1):3–13. doi:</w:t>
      </w:r>
      <w:hyperlink r:id="rId64">
        <w:r>
          <w:rPr>
            <w:rStyle w:val="Hyperlink"/>
          </w:rPr>
          <w:t xml:space="preserve">10.1016/j.hal.2008.08.006</w:t>
        </w:r>
      </w:hyperlink>
      <w:r>
        <w:t xml:space="preserve">.</w:t>
      </w:r>
    </w:p>
    <w:bookmarkEnd w:id="65"/>
    <w:bookmarkStart w:id="67" w:name="ref-hirschWeightedRegressionsTime2010"/>
    <w:p>
      <w:pPr>
        <w:pStyle w:val="Bibliography"/>
      </w:pPr>
      <w:r>
        <w:t xml:space="preserve">Hirsch RM, Moyer DL, Archfield SA. 2010. Weighted Regressions on Time, Discharge, and Season (WRTDS), with an application to Chesapeake Bay river inputs. JAWRA Journal of the American Water Resources Association. 46(5):857–880. doi:</w:t>
      </w:r>
      <w:hyperlink r:id="rId66">
        <w:r>
          <w:rPr>
            <w:rStyle w:val="Hyperlink"/>
          </w:rPr>
          <w:t xml:space="preserve">10.1111/j.1752-1688.2010.00482.x</w:t>
        </w:r>
      </w:hyperlink>
      <w:r>
        <w:t xml:space="preserve">.</w:t>
      </w:r>
    </w:p>
    <w:bookmarkEnd w:id="67"/>
    <w:bookmarkStart w:id="69" w:name="X8ec623c2fee08d5753a0b492ce7b23f53a19c6b"/>
    <w:p>
      <w:pPr>
        <w:pStyle w:val="Bibliography"/>
      </w:pPr>
      <w:r>
        <w:t xml:space="preserve">Hornung RW, Reed LD. 1990. Estimation of average concentration in the presence of nondetectable values. Applied Occupational and Environmental Hygiene. 5(1):46–51. doi:</w:t>
      </w:r>
      <w:hyperlink r:id="rId68">
        <w:r>
          <w:rPr>
            <w:rStyle w:val="Hyperlink"/>
          </w:rPr>
          <w:t xml:space="preserve">10.1080/1047322X.1990.10389587</w:t>
        </w:r>
      </w:hyperlink>
      <w:r>
        <w:t xml:space="preserve">.</w:t>
      </w:r>
    </w:p>
    <w:bookmarkEnd w:id="69"/>
    <w:bookmarkStart w:id="71" w:name="ref-kroonRiverLoadsSuspended2012"/>
    <w:p>
      <w:pPr>
        <w:pStyle w:val="Bibliography"/>
      </w:pPr>
      <w:r>
        <w:t xml:space="preserve">Kroon FJ, Kuhnert PM, Henderson BL, Wilkinson SN, Kinsey-Henderson A, Abbott B, Brodie JE, Turner RDR. 2012. River loads of suspended solids, nitrogen, phosphorus and herbicides delivered to the Great Barrier Reef lagoon. Marine Pollution Bulletin. 65(4-9):167–181. doi:</w:t>
      </w:r>
      <w:hyperlink r:id="rId70">
        <w:r>
          <w:rPr>
            <w:rStyle w:val="Hyperlink"/>
          </w:rPr>
          <w:t xml:space="preserve">10.1016/j.marpolbul.2011.10.018</w:t>
        </w:r>
      </w:hyperlink>
      <w:r>
        <w:t xml:space="preserve">.</w:t>
      </w:r>
    </w:p>
    <w:bookmarkEnd w:id="71"/>
    <w:bookmarkStart w:id="73" w:name="ref-kuhnert_quantifying_2012"/>
    <w:p>
      <w:pPr>
        <w:pStyle w:val="Bibliography"/>
      </w:pPr>
      <w:r>
        <w:t xml:space="preserve">Kuhnert PM, Henderson BL, Lewis SE, Bainbridge ZT, Wilkinson SN, Brodie JE. 2012. Quantifying total suspended sediment export from the Burdekin River catchment using the loads regression estimator tool: Regression Estimator Tool for Pollutant Loads. Water Resour Res. 48(4). doi:</w:t>
      </w:r>
      <w:hyperlink r:id="rId72">
        <w:r>
          <w:rPr>
            <w:rStyle w:val="Hyperlink"/>
          </w:rPr>
          <w:t xml:space="preserve">10.1029/2011WR011080</w:t>
        </w:r>
      </w:hyperlink>
      <w:r>
        <w:t xml:space="preserve">.</w:t>
      </w:r>
    </w:p>
    <w:bookmarkEnd w:id="73"/>
    <w:bookmarkStart w:id="75" w:name="ref-mcdowell_implications_2021"/>
    <w:p>
      <w:pPr>
        <w:pStyle w:val="Bibliography"/>
      </w:pPr>
      <w:r>
        <w:t xml:space="preserve">McDowell RW, Simpson ZP, Ausseil AG, Etheridge Z, Law R. 2021. The implications of lag times between nitrate leaching losses and riverine loads for water quality policy. Sci Rep. 11(1):16450. doi:</w:t>
      </w:r>
      <w:hyperlink r:id="rId74">
        <w:r>
          <w:rPr>
            <w:rStyle w:val="Hyperlink"/>
          </w:rPr>
          <w:t xml:space="preserve">10.1038/s41598-021-95302-1</w:t>
        </w:r>
      </w:hyperlink>
      <w:r>
        <w:t xml:space="preserve">.</w:t>
      </w:r>
    </w:p>
    <w:bookmarkEnd w:id="75"/>
    <w:bookmarkStart w:id="76" w:name="X0edfcde45eacb493639fc1125510ccb920392e7"/>
    <w:p>
      <w:pPr>
        <w:pStyle w:val="Bibliography"/>
      </w:pPr>
      <w:r>
        <w:t xml:space="preserve">Montagna PA, Cockett PM, Kurr EM, Trungale J. 2020. Assessment of the Relationship Between Freshwater Inflow and Biological Indicators in Lavaca Bay. Corpus Christi, Texas: Harte Research Institute, Texas A&amp;M University-Corpus Christi Final Report to the Texas Water Development Board Report No.: Contract # 1800012268.</w:t>
      </w:r>
    </w:p>
    <w:bookmarkEnd w:id="76"/>
    <w:bookmarkStart w:id="78" w:name="ref-moriasiHydrologicWaterQuality2015"/>
    <w:p>
      <w:pPr>
        <w:pStyle w:val="Bibliography"/>
      </w:pPr>
      <w:r>
        <w:t xml:space="preserve">Moriasi DN, Gitau MW, Pai N, Daggupati P. 2015. Hydrologic and water quality models: Performance measures and evaluation criteria. Trans ASABE. 58(6):1763–1785. doi:</w:t>
      </w:r>
      <w:hyperlink r:id="rId77">
        <w:r>
          <w:rPr>
            <w:rStyle w:val="Hyperlink"/>
          </w:rPr>
          <w:t xml:space="preserve">10.13031/trans.58.10715</w:t>
        </w:r>
      </w:hyperlink>
      <w:r>
        <w:t xml:space="preserve">.</w:t>
      </w:r>
    </w:p>
    <w:bookmarkEnd w:id="78"/>
    <w:bookmarkStart w:id="80" w:name="X2ea7a31272e2eaf30b5805da13a2a366df05f9c"/>
    <w:p>
      <w:pPr>
        <w:pStyle w:val="Bibliography"/>
      </w:pPr>
      <w:r>
        <w:t xml:space="preserve">Murphy RR, Keisman J, Harcum J, Karrh RR, Lane M, Perry ES, Zhang Q. 2022. Nutrient improvements in Chesapeake Bay: Direct effect of load reductions and implications for coastal management. Environ Sci Technol. 56(1):260–270. doi:</w:t>
      </w:r>
      <w:hyperlink r:id="rId79">
        <w:r>
          <w:rPr>
            <w:rStyle w:val="Hyperlink"/>
          </w:rPr>
          <w:t xml:space="preserve">10.1021/acs.est.1c05388</w:t>
        </w:r>
      </w:hyperlink>
      <w:r>
        <w:t xml:space="preserve">.</w:t>
      </w:r>
    </w:p>
    <w:bookmarkEnd w:id="80"/>
    <w:bookmarkStart w:id="82" w:name="ref-palmerImpactsDroughtsLow2015"/>
    <w:p>
      <w:pPr>
        <w:pStyle w:val="Bibliography"/>
      </w:pPr>
      <w:r>
        <w:t xml:space="preserve">Palmer TA, Montagna PA. 2015. Impacts of droughts and low flows on estuarine water quality and benthic fauna. Hydrobiologia. 753(1):111–129. doi:</w:t>
      </w:r>
      <w:hyperlink r:id="rId81">
        <w:r>
          <w:rPr>
            <w:rStyle w:val="Hyperlink"/>
          </w:rPr>
          <w:t xml:space="preserve">10.1007/s10750-015-2200-x</w:t>
        </w:r>
      </w:hyperlink>
      <w:r>
        <w:t xml:space="preserve">.</w:t>
      </w:r>
    </w:p>
    <w:bookmarkEnd w:id="82"/>
    <w:bookmarkStart w:id="84" w:name="ref-robson_prediction_2015-1"/>
    <w:p>
      <w:pPr>
        <w:pStyle w:val="Bibliography"/>
      </w:pPr>
      <w:r>
        <w:t xml:space="preserve">Robson BJ, Dourdet V. 2015. Prediction of sediment, particulate nutrient and dissolved nutrient concentrations in a dry tropical river to provide input to a mechanistic coastal water quality model. Environmental Modelling &amp; Software. 63:97–108. doi:</w:t>
      </w:r>
      <w:hyperlink r:id="rId83">
        <w:r>
          <w:rPr>
            <w:rStyle w:val="Hyperlink"/>
          </w:rPr>
          <w:t xml:space="preserve">10.1016/j.envsoft.2014.08.009</w:t>
        </w:r>
      </w:hyperlink>
      <w:r>
        <w:t xml:space="preserve">.</w:t>
      </w:r>
    </w:p>
    <w:bookmarkEnd w:id="84"/>
    <w:bookmarkStart w:id="86" w:name="Xf89bdb06d39b59a89169f188e41ebf1ef98402e"/>
    <w:p>
      <w:pPr>
        <w:pStyle w:val="Bibliography"/>
      </w:pPr>
      <w:r>
        <w:t xml:space="preserve">Schoenbaechler C, Guthrie C, Lu Q. 2011. Coastal Hydrology for the Lavaca-Colorado Estuary. Austin, TX: Texas Water Development Board.</w:t>
      </w:r>
      <w:r>
        <w:t xml:space="preserve"> </w:t>
      </w:r>
      <w:hyperlink r:id="rId85">
        <w:r>
          <w:rPr>
            <w:rStyle w:val="Hyperlink"/>
          </w:rPr>
          <w:t xml:space="preserve">https://www.twdb.texas.gov/surfacewater/bays/coastal_hydrology/doc/TWDB_Matagorda_Hydrology_20110211.pdf</w:t>
        </w:r>
      </w:hyperlink>
      <w:r>
        <w:t xml:space="preserve">.</w:t>
      </w:r>
    </w:p>
    <w:bookmarkEnd w:id="86"/>
    <w:bookmarkStart w:id="88" w:name="ref-shenTimeUpdateSplit2022"/>
    <w:p>
      <w:pPr>
        <w:pStyle w:val="Bibliography"/>
      </w:pPr>
      <w:r>
        <w:t xml:space="preserve">Shen H, Tolson BA, Mai J. 2022. Time to update the split‐sample approach in hydrological model calibration. Water Resources Research. 58(3). doi:</w:t>
      </w:r>
      <w:hyperlink r:id="rId87">
        <w:r>
          <w:rPr>
            <w:rStyle w:val="Hyperlink"/>
          </w:rPr>
          <w:t xml:space="preserve">10.1029/2021WR031523</w:t>
        </w:r>
      </w:hyperlink>
      <w:r>
        <w:t xml:space="preserve">.</w:t>
      </w:r>
    </w:p>
    <w:bookmarkEnd w:id="88"/>
    <w:bookmarkStart w:id="90" w:name="ref-simpsonGratiaGracefulGraceful2022"/>
    <w:p>
      <w:pPr>
        <w:pStyle w:val="Bibliography"/>
      </w:pPr>
      <w:r>
        <w:t xml:space="preserve">Simpson GL. 2022.</w:t>
      </w:r>
      <w:r>
        <w:t xml:space="preserve"> </w:t>
      </w:r>
      <w:r>
        <w:t xml:space="preserve">gratia</w:t>
      </w:r>
      <w:r>
        <w:t xml:space="preserve">: Graceful Graceful</w:t>
      </w:r>
      <w:r>
        <w:t xml:space="preserve"> </w:t>
      </w:r>
      <w:r>
        <w:t xml:space="preserve">ggplot</w:t>
      </w:r>
      <w:r>
        <w:t xml:space="preserve">-Based Graphics and Other Functions for GAMs Fitted using</w:t>
      </w:r>
      <w:r>
        <w:t xml:space="preserve"> </w:t>
      </w:r>
      <w:r>
        <w:t xml:space="preserve">mgcv</w:t>
      </w:r>
      <w:r>
        <w:t xml:space="preserve">.</w:t>
      </w:r>
      <w:r>
        <w:t xml:space="preserve"> </w:t>
      </w:r>
      <w:hyperlink r:id="rId89">
        <w:r>
          <w:rPr>
            <w:rStyle w:val="Hyperlink"/>
          </w:rPr>
          <w:t xml:space="preserve">https://gavinsimpson.github.io/gratia/</w:t>
        </w:r>
      </w:hyperlink>
      <w:r>
        <w:t xml:space="preserve">.</w:t>
      </w:r>
    </w:p>
    <w:bookmarkEnd w:id="90"/>
    <w:bookmarkStart w:id="92" w:name="ref-vecchia_trends_2009"/>
    <w:p>
      <w:pPr>
        <w:pStyle w:val="Bibliography"/>
      </w:pPr>
      <w:r>
        <w:t xml:space="preserve">Vecchia AV, Gilliom RJ, Sullivan DJ, Lorenz DL, Martin JD. 2009. Trends in concentrations and use of agricultural herbicides for Corn Belt Rivers, 1996−2006. Environ Sci Technol. 43(24):9096–9102. doi:</w:t>
      </w:r>
      <w:hyperlink r:id="rId91">
        <w:r>
          <w:rPr>
            <w:rStyle w:val="Hyperlink"/>
          </w:rPr>
          <w:t xml:space="preserve">10.1021/es902122j</w:t>
        </w:r>
      </w:hyperlink>
      <w:r>
        <w:t xml:space="preserve">.</w:t>
      </w:r>
    </w:p>
    <w:bookmarkEnd w:id="92"/>
    <w:bookmarkStart w:id="94" w:name="ref-wangLoadEstimationUncertainties2011"/>
    <w:p>
      <w:pPr>
        <w:pStyle w:val="Bibliography"/>
      </w:pPr>
      <w:r>
        <w:t xml:space="preserve">Wang Y-G, Kuhnert P, Henderson B. 2011. Load estimation with uncertainties from opportunistic sampling data – A semiparametric approach. Journal of Hydrology. 396(1-2):148–157. doi:</w:t>
      </w:r>
      <w:hyperlink r:id="rId93">
        <w:r>
          <w:rPr>
            <w:rStyle w:val="Hyperlink"/>
          </w:rPr>
          <w:t xml:space="preserve">10.1016/j.jhydrol.2010.11.003</w:t>
        </w:r>
      </w:hyperlink>
      <w:r>
        <w:t xml:space="preserve">.</w:t>
      </w:r>
    </w:p>
    <w:bookmarkEnd w:id="94"/>
    <w:bookmarkStart w:id="96" w:name="ref-wood_fast_2011"/>
    <w:p>
      <w:pPr>
        <w:pStyle w:val="Bibliography"/>
      </w:pPr>
      <w:r>
        <w:t xml:space="preserve">Wood SN. 2011. Fast stable restricted maximum likelihood and marginal likelihood estimation of semiparametric generalized linear models: Estimation of Semiparametric Generalized Linear Models. Journal of the Royal Statistical Society: Series B (Statistical Methodology). 73(1):3–36. doi:</w:t>
      </w:r>
      <w:hyperlink r:id="rId95">
        <w:r>
          <w:rPr>
            <w:rStyle w:val="Hyperlink"/>
          </w:rPr>
          <w:t xml:space="preserve">10.1111/j.1467-9868.2010.00749.x</w:t>
        </w:r>
      </w:hyperlink>
      <w:r>
        <w:t xml:space="preserve">.</w:t>
      </w:r>
    </w:p>
    <w:bookmarkEnd w:id="96"/>
    <w:bookmarkStart w:id="98" w:name="ref-zhang_improving_2017"/>
    <w:p>
      <w:pPr>
        <w:pStyle w:val="Bibliography"/>
      </w:pPr>
      <w:r>
        <w:t xml:space="preserve">Zhang Q, Ball WP. 2017. Improving riverine constituent concentration and flux estimation by accounting for antecedent discharge conditions. Journal of Hydrology. 547:387–402. doi:</w:t>
      </w:r>
      <w:hyperlink r:id="rId97">
        <w:r>
          <w:rPr>
            <w:rStyle w:val="Hyperlink"/>
          </w:rPr>
          <w:t xml:space="preserve">10.1016/j.jhydrol.2016.12.052</w:t>
        </w:r>
      </w:hyperlink>
      <w:r>
        <w:t xml:space="preserve">.</w:t>
      </w:r>
    </w:p>
    <w:bookmarkEnd w:id="98"/>
    <w:bookmarkEnd w:id="99"/>
    <w:p>
      <w:pPr>
        <w:sectPr>
          <w:type w:val="nextPage"/>
          <w:footerReference r:id="rId9" w:type="default"/>
          <w:cols/>
          <w:pgSz w:h="16848" w:w="11952" w:orient="portrait"/>
          <w:pgMar w:header="720" w:bottom="1800" w:top="1800" w:right="720" w:left="720" w:footer="720" w:gutter="720"/>
        </w:sectPr>
      </w:pPr>
    </w:p>
    <w:bookmarkEnd w:id="100"/>
    <w:bookmarkStart w:id="101" w:name="appendix-a"/>
    <w:p>
      <w:pPr>
        <w:pStyle w:val="Heading1"/>
      </w:pPr>
      <w:r>
        <w:t xml:space="preserve">Appendix A</w:t>
      </w:r>
    </w:p>
    <w:p>
      <w:pPr>
        <w:pStyle w:val="FirstParagraph"/>
      </w:pPr>
      <w:r>
        <w:t xml:space="preserve">You can add more info, tables, and figures here.</w:t>
      </w:r>
    </w:p>
    <w:p>
      <w:pPr>
        <w:sectPr>
          <w:type w:val="nextPage"/>
          <w:footerReference r:id="rId9" w:type="default"/>
          <w:cols/>
          <w:pgSz w:h="16848" w:w="11952" w:orient="portrait"/>
          <w:pgMar w:header="720" w:bottom="1800" w:top="1800" w:right="720" w:left="720" w:footer="720" w:gutter="720"/>
        </w:sectPr>
      </w:pPr>
    </w:p>
    <w:bookmarkEnd w:id="101"/>
    <w:sectPr>
      <w:pgMar w:header="720" w:bottom="1800" w:top="1800" w:right="720" w:left="720" w:footer="720" w:gutter="720"/>
      <w:pgSz w:h="16848" w:w="11952" w:orient="portrait"/>
      <w:type w:val="continuous"/>
      <w:cols/>
      <w:footerReference r:id="rId9"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nion Pro">
    <w:panose1 w:val="02040503050306020203"/>
    <w:charset w:val="00"/>
    <w:family w:val="roman"/>
    <w:notTrueType/>
    <w:pitch w:val="variable"/>
    <w:sig w:usb0="E00002AF" w:usb1="5000E07B" w:usb2="00000000" w:usb3="00000000" w:csb0="0000019F" w:csb1="00000000"/>
  </w:font>
  <w:font w:name="Open Sans Semibold">
    <w:panose1 w:val="020B07060308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EB Garamond">
    <w:panose1 w:val="00000000000000000000"/>
    <w:charset w:val="00"/>
    <w:family w:val="auto"/>
    <w:pitch w:val="variable"/>
    <w:sig w:usb0="E00002FF" w:usb1="5201E4F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142197"/>
      <w:docPartObj>
        <w:docPartGallery w:val="Page Numbers (Bottom of Page)"/>
        <w:docPartUnique/>
      </w:docPartObj>
    </w:sdtPr>
    <w:sdtEndPr>
      <w:rPr>
        <w:noProof/>
      </w:rPr>
    </w:sdtEndPr>
    <w:sdtContent>
      <w:p w14:paraId="035A07AC" w14:textId="01ED6CAB"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5002B8" w14:textId="77777777" w:rsidR="00013622" w:rsidRDefault="006E33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728801"/>
      <w:docPartObj>
        <w:docPartGallery w:val="Page Numbers (Bottom of Page)"/>
        <w:docPartUnique/>
      </w:docPartObj>
    </w:sdtPr>
    <w:sdtEndPr>
      <w:rPr>
        <w:noProof/>
      </w:rPr>
    </w:sdtEndPr>
    <w:sdtContent>
      <w:p w14:paraId="0EADC806" w14:textId="7D542DCE"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DF8EF" w14:textId="77777777" w:rsidR="00013622" w:rsidRDefault="006E33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5941847"/>
      <w:docPartObj>
        <w:docPartGallery w:val="Page Numbers (Bottom of Page)"/>
        <w:docPartUnique/>
      </w:docPartObj>
    </w:sdtPr>
    <w:sdtEndPr>
      <w:rPr>
        <w:noProof/>
      </w:rPr>
    </w:sdtEndPr>
    <w:sdtContent>
      <w:p w14:paraId="47A0DA66" w14:textId="4596C807"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09B905" w14:textId="77777777" w:rsidR="00013622" w:rsidRDefault="006E33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359120"/>
      <w:docPartObj>
        <w:docPartGallery w:val="Page Numbers (Bottom of Page)"/>
        <w:docPartUnique/>
      </w:docPartObj>
    </w:sdtPr>
    <w:sdtEndPr>
      <w:rPr>
        <w:noProof/>
      </w:rPr>
    </w:sdtEndPr>
    <w:sdtContent>
      <w:p w14:paraId="4D69A0BF" w14:textId="77777777" w:rsidR="00013622" w:rsidRDefault="006E331E">
        <w:pPr>
          <w:pStyle w:val="Footer"/>
          <w:jc w:val="center"/>
        </w:pPr>
      </w:p>
    </w:sdtContent>
  </w:sdt>
  <w:p w14:paraId="68489F11" w14:textId="77777777" w:rsidR="00013622" w:rsidRDefault="006E331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440339"/>
      <w:docPartObj>
        <w:docPartGallery w:val="Page Numbers (Bottom of Page)"/>
        <w:docPartUnique/>
      </w:docPartObj>
    </w:sdtPr>
    <w:sdtEndPr>
      <w:rPr>
        <w:noProof/>
      </w:rPr>
    </w:sdtEndPr>
    <w:sdtContent>
      <w:p w14:paraId="5DAEF0E2" w14:textId="77777777" w:rsidR="00013622" w:rsidRDefault="006E331E">
        <w:pPr>
          <w:pStyle w:val="Footer"/>
          <w:jc w:val="center"/>
        </w:pPr>
      </w:p>
    </w:sdtContent>
  </w:sdt>
  <w:p w14:paraId="1B5BF98D" w14:textId="77777777" w:rsidR="00013622" w:rsidRDefault="006E331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963766"/>
      <w:docPartObj>
        <w:docPartGallery w:val="Page Numbers (Bottom of Page)"/>
        <w:docPartUnique/>
      </w:docPartObj>
    </w:sdtPr>
    <w:sdtEndPr>
      <w:rPr>
        <w:noProof/>
      </w:rPr>
    </w:sdtEndPr>
    <w:sdtContent>
      <w:p w14:paraId="1E5797FF" w14:textId="336CC59C"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DDAAF5" w14:textId="77777777" w:rsidR="00013622" w:rsidRDefault="006E331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FC873C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596A8F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2B0A670"/>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47B8E35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584650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3BACD7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770353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C28345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6B6D6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37E724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AD12FF4"/>
    <w:multiLevelType w:val="multilevel"/>
    <w:tmpl w:val="04090027"/>
    <w:lvl w:ilvl="0">
      <w:start w:val="1"/>
      <w:numFmt w:val="upperRoman"/>
      <w:lvlText w:val="%1."/>
      <w:lvlJc w:val="left"/>
      <w:pPr>
        <w:ind w:firstLine="0" w:left="0"/>
      </w:pPr>
    </w:lvl>
    <w:lvl w:ilvl="1">
      <w:start w:val="1"/>
      <w:numFmt w:val="upperLetter"/>
      <w:lvlText w:val="%2."/>
      <w:lvlJc w:val="left"/>
      <w:pPr>
        <w:ind w:firstLine="0" w:left="720"/>
      </w:pPr>
    </w:lvl>
    <w:lvl w:ilvl="2">
      <w:start w:val="1"/>
      <w:numFmt w:val="decimal"/>
      <w:lvlText w:val="%3."/>
      <w:lvlJc w:val="left"/>
      <w:pPr>
        <w:ind w:firstLine="0" w:left="1440"/>
      </w:pPr>
    </w:lvl>
    <w:lvl w:ilvl="3">
      <w:start w:val="1"/>
      <w:numFmt w:val="lowerLetter"/>
      <w:lvlText w:val="%4)"/>
      <w:lvlJc w:val="left"/>
      <w:pPr>
        <w:ind w:firstLine="0" w:left="2160"/>
      </w:pPr>
    </w:lvl>
    <w:lvl w:ilvl="4">
      <w:start w:val="1"/>
      <w:numFmt w:val="decimal"/>
      <w:lvlText w:val="(%5)"/>
      <w:lvlJc w:val="left"/>
      <w:pPr>
        <w:ind w:firstLine="0" w:left="2880"/>
      </w:pPr>
    </w:lvl>
    <w:lvl w:ilvl="5">
      <w:start w:val="1"/>
      <w:numFmt w:val="lowerLetter"/>
      <w:lvlText w:val="(%6)"/>
      <w:lvlJc w:val="left"/>
      <w:pPr>
        <w:ind w:firstLine="0" w:left="3600"/>
      </w:pPr>
    </w:lvl>
    <w:lvl w:ilvl="6">
      <w:start w:val="1"/>
      <w:numFmt w:val="lowerRoman"/>
      <w:lvlText w:val="(%7)"/>
      <w:lvlJc w:val="left"/>
      <w:pPr>
        <w:ind w:firstLine="0" w:left="4320"/>
      </w:pPr>
    </w:lvl>
    <w:lvl w:ilvl="7">
      <w:start w:val="1"/>
      <w:numFmt w:val="lowerLetter"/>
      <w:lvlText w:val="(%8)"/>
      <w:lvlJc w:val="left"/>
      <w:pPr>
        <w:ind w:firstLine="0" w:left="5040"/>
      </w:pPr>
    </w:lvl>
    <w:lvl w:ilvl="8">
      <w:start w:val="1"/>
      <w:numFmt w:val="lowerRoman"/>
      <w:lvlText w:val="(%9)"/>
      <w:lvlJc w:val="left"/>
      <w:pPr>
        <w:ind w:firstLine="0" w:left="5760"/>
      </w:pPr>
    </w:lvl>
  </w:abstractNum>
  <w:abstractNum w15:restartNumberingAfterBreak="0" w:abstractNumId="11">
    <w:nsid w:val="2C1AE401"/>
    <w:multiLevelType w:val="multilevel"/>
    <w:tmpl w:val="CB96CA3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4116266A"/>
    <w:multiLevelType w:val="multilevel"/>
    <w:tmpl w:val="0409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5FB72FC8"/>
    <w:multiLevelType w:val="multilevel"/>
    <w:tmpl w:val="8FB2029A"/>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1"/>
  </w:num>
  <w:num w:numId="14">
    <w:abstractNumId w:val="12"/>
  </w:num>
  <w:num w:numId="15">
    <w:abstractNumId w:val="13"/>
  </w:num>
  <w:num w:numId="16">
    <w:abstractNumId w:val="10"/>
  </w:num>
  <w:num w:numId="17">
    <w:abstractNumId w:val="11"/>
  </w:num>
  <w:num w:numId="18">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B54E4"/>
    <w:rPr>
      <w:rFonts w:ascii="Minion Pro" w:hAnsi="Minion Pro"/>
    </w:rPr>
  </w:style>
  <w:style w:styleId="Heading1" w:type="paragraph">
    <w:name w:val="heading 1"/>
    <w:basedOn w:val="Normal"/>
    <w:next w:val="BodyText"/>
    <w:uiPriority w:val="9"/>
    <w:qFormat/>
    <w:rsid w:val="00B760BE"/>
    <w:pPr>
      <w:keepNext/>
      <w:keepLines/>
      <w:spacing w:after="0" w:before="480"/>
      <w:outlineLvl w:val="0"/>
    </w:pPr>
    <w:rPr>
      <w:rFonts w:ascii="Open Sans Semibold" w:cstheme="majorBidi" w:eastAsiaTheme="majorEastAsia" w:hAnsi="Open Sans Semibold"/>
      <w:bCs/>
      <w:sz w:val="32"/>
      <w:szCs w:val="32"/>
    </w:rPr>
  </w:style>
  <w:style w:styleId="Heading2" w:type="paragraph">
    <w:name w:val="heading 2"/>
    <w:basedOn w:val="Normal"/>
    <w:next w:val="BodyText"/>
    <w:uiPriority w:val="9"/>
    <w:unhideWhenUsed/>
    <w:qFormat/>
    <w:rsid w:val="00B760BE"/>
    <w:pPr>
      <w:keepNext/>
      <w:keepLines/>
      <w:spacing w:after="0" w:before="200"/>
      <w:outlineLvl w:val="1"/>
    </w:pPr>
    <w:rPr>
      <w:rFonts w:asciiTheme="majorHAnsi" w:cstheme="majorBidi" w:eastAsiaTheme="majorEastAsia" w:hAnsiTheme="majorHAnsi"/>
      <w:bCs/>
      <w:szCs w:val="32"/>
    </w:rPr>
  </w:style>
  <w:style w:styleId="Heading3" w:type="paragraph">
    <w:name w:val="heading 3"/>
    <w:basedOn w:val="Normal"/>
    <w:next w:val="BodyText"/>
    <w:uiPriority w:val="9"/>
    <w:unhideWhenUsed/>
    <w:qFormat/>
    <w:rsid w:val="00B760BE"/>
    <w:pPr>
      <w:keepNext/>
      <w:keepLines/>
      <w:spacing w:after="0" w:before="200"/>
      <w:outlineLvl w:val="2"/>
    </w:pPr>
    <w:rPr>
      <w:rFonts w:asciiTheme="majorHAnsi" w:cstheme="majorBidi" w:eastAsiaTheme="majorEastAsia" w:hAnsiTheme="majorHAnsi"/>
      <w:bCs/>
      <w:sz w:val="20"/>
      <w:szCs w:val="28"/>
    </w:rPr>
  </w:style>
  <w:style w:styleId="Heading4" w:type="paragraph">
    <w:name w:val="heading 4"/>
    <w:basedOn w:val="Normal"/>
    <w:next w:val="BodyText"/>
    <w:uiPriority w:val="9"/>
    <w:unhideWhenUsed/>
    <w:qFormat/>
    <w:rsid w:val="00C634DF"/>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C634DF"/>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rsid w:val="00C634DF"/>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C634DF"/>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C634DF"/>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rsid w:val="00C634DF"/>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65F74"/>
    <w:pPr>
      <w:spacing w:after="180" w:before="180" w:line="288" w:lineRule="auto"/>
    </w:pPr>
  </w:style>
  <w:style w:customStyle="1" w:styleId="FirstParagraph" w:type="paragraph">
    <w:name w:val="First Paragraph"/>
    <w:basedOn w:val="BodyText"/>
    <w:next w:val="BodyText"/>
    <w:qFormat/>
    <w:rsid w:val="00E65F74"/>
  </w:style>
  <w:style w:customStyle="1" w:styleId="Compact" w:type="paragraph">
    <w:name w:val="Compact"/>
    <w:basedOn w:val="BodyText"/>
    <w:qFormat/>
    <w:rsid w:val="00E65F74"/>
    <w:pPr>
      <w:spacing w:after="36" w:before="36" w:line="240" w:lineRule="auto"/>
    </w:pPr>
    <w:rPr>
      <w:sz w:val="20"/>
    </w:rPr>
  </w:style>
  <w:style w:styleId="Title" w:type="paragraph">
    <w:name w:val="Title"/>
    <w:basedOn w:val="Normal"/>
    <w:next w:val="BodyText"/>
    <w:qFormat/>
    <w:rsid w:val="00B760BE"/>
    <w:pPr>
      <w:keepNext/>
      <w:keepLines/>
      <w:spacing w:after="240" w:before="480"/>
      <w:jc w:val="center"/>
    </w:pPr>
    <w:rPr>
      <w:rFonts w:ascii="Open Sans Semibold" w:cstheme="majorBidi" w:eastAsiaTheme="majorEastAsia" w:hAnsi="Open Sans Semibold"/>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0B54E4"/>
    <w:pPr>
      <w:keepNext/>
      <w:keepLines/>
      <w:spacing w:after="0"/>
    </w:pPr>
    <w:rPr>
      <w:rFonts w:ascii="Minion Pro" w:hAnsi="Minion Pro"/>
    </w:rPr>
  </w:style>
  <w:style w:styleId="Date" w:type="paragraph">
    <w:name w:val="Date"/>
    <w:next w:val="BodyText"/>
    <w:qFormat/>
    <w:rsid w:val="000B54E4"/>
    <w:pPr>
      <w:keepNext/>
      <w:keepLines/>
    </w:pPr>
    <w:rPr>
      <w:rFonts w:ascii="Minion Pro" w:hAnsi="Minion Pro"/>
    </w:rPr>
  </w:style>
  <w:style w:customStyle="1" w:styleId="Abstract" w:type="paragraph">
    <w:name w:val="Abstract"/>
    <w:basedOn w:val="Normal"/>
    <w:next w:val="BodyText"/>
    <w:qFormat/>
    <w:rsid w:val="00B040DC"/>
    <w:pPr>
      <w:keepNext/>
      <w:keepLines/>
      <w:spacing w:after="300" w:before="300"/>
    </w:pPr>
    <w:rPr>
      <w:sz w:val="22"/>
      <w:szCs w:val="20"/>
    </w:rPr>
  </w:style>
  <w:style w:styleId="Bibliography" w:type="paragraph">
    <w:name w:val="Bibliography"/>
    <w:basedOn w:val="Normal"/>
    <w:qFormat/>
    <w:rsid w:val="00B040DC"/>
    <w:pPr>
      <w:ind w:hanging="288" w:left="288"/>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rsid w:val="00B040DC"/>
    <w:pPr>
      <w:spacing w:after="0"/>
    </w:pPr>
    <w:rPr>
      <w:sz w:val="20"/>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926631"/>
    <w:pPr>
      <w:keepNext/>
      <w:jc w:val="center"/>
    </w:pPr>
    <w:rPr>
      <w:i w:val="0"/>
      <w:sz w:val="20"/>
    </w:rPr>
  </w:style>
  <w:style w:customStyle="1" w:styleId="ImageCaption" w:type="paragraph">
    <w:name w:val="Image Caption"/>
    <w:basedOn w:val="Caption"/>
    <w:rsid w:val="00926631"/>
    <w:pPr>
      <w:jc w:val="center"/>
    </w:pPr>
    <w:rPr>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unhideWhenUsed/>
    <w:rsid w:val="00394FF1"/>
    <w:rPr>
      <w:rFonts w:ascii="Arial" w:hAnsi="Arial"/>
      <w:sz w:val="20"/>
    </w:rPr>
  </w:style>
  <w:style w:customStyle="1" w:styleId="BodyTextChar" w:type="character">
    <w:name w:val="Body Text Char"/>
    <w:basedOn w:val="DefaultParagraphFont"/>
    <w:link w:val="BodyText"/>
    <w:rsid w:val="00E65F74"/>
    <w:rPr>
      <w:rFonts w:ascii="EB Garamond" w:hAnsi="EB Garamond"/>
    </w:rPr>
  </w:style>
  <w:style w:styleId="Header" w:type="paragraph">
    <w:name w:val="header"/>
    <w:basedOn w:val="Normal"/>
    <w:link w:val="HeaderChar"/>
    <w:unhideWhenUsed/>
    <w:rsid w:val="00437DBF"/>
    <w:pPr>
      <w:tabs>
        <w:tab w:pos="4680" w:val="center"/>
        <w:tab w:pos="9360" w:val="right"/>
      </w:tabs>
      <w:spacing w:after="0"/>
    </w:pPr>
    <w:rPr>
      <w:sz w:val="20"/>
    </w:rPr>
  </w:style>
  <w:style w:customStyle="1" w:styleId="HeaderChar" w:type="character">
    <w:name w:val="Header Char"/>
    <w:basedOn w:val="DefaultParagraphFont"/>
    <w:link w:val="Header"/>
    <w:rsid w:val="00437DBF"/>
    <w:rPr>
      <w:rFonts w:ascii="EB Garamond" w:hAnsi="EB Garamond"/>
      <w:sz w:val="20"/>
    </w:rPr>
  </w:style>
  <w:style w:styleId="Footer" w:type="paragraph">
    <w:name w:val="footer"/>
    <w:basedOn w:val="Normal"/>
    <w:link w:val="FooterChar"/>
    <w:uiPriority w:val="99"/>
    <w:unhideWhenUsed/>
    <w:rsid w:val="00B760BE"/>
    <w:pPr>
      <w:tabs>
        <w:tab w:pos="4680" w:val="center"/>
        <w:tab w:pos="9360" w:val="right"/>
      </w:tabs>
      <w:spacing w:after="0"/>
    </w:pPr>
    <w:rPr>
      <w:rFonts w:asciiTheme="majorHAnsi" w:hAnsiTheme="majorHAnsi"/>
      <w:sz w:val="18"/>
    </w:rPr>
  </w:style>
  <w:style w:customStyle="1" w:styleId="FooterChar" w:type="character">
    <w:name w:val="Footer Char"/>
    <w:basedOn w:val="DefaultParagraphFont"/>
    <w:link w:val="Footer"/>
    <w:uiPriority w:val="99"/>
    <w:rsid w:val="00B760BE"/>
    <w:rPr>
      <w:rFonts w:asciiTheme="majorHAnsi" w:hAnsiTheme="majorHAnsi"/>
      <w:sz w:val="18"/>
    </w:rPr>
  </w:style>
  <w:style w:styleId="PlaceholderText" w:type="character">
    <w:name w:val="Placeholder Text"/>
    <w:basedOn w:val="DefaultParagraphFont"/>
    <w:semiHidden/>
    <w:rsid w:val="00CA4C83"/>
    <w:rPr>
      <w:color w:val="808080"/>
    </w:rPr>
  </w:style>
  <w:style w:styleId="TOC1" w:type="paragraph">
    <w:name w:val="toc 1"/>
    <w:basedOn w:val="Normal"/>
    <w:next w:val="Normal"/>
    <w:autoRedefine/>
    <w:uiPriority w:val="39"/>
    <w:unhideWhenUsed/>
    <w:rsid w:val="00D46F37"/>
    <w:pPr>
      <w:spacing w:after="100"/>
    </w:pPr>
  </w:style>
  <w:style w:styleId="TOC2" w:type="paragraph">
    <w:name w:val="toc 2"/>
    <w:basedOn w:val="Normal"/>
    <w:next w:val="Normal"/>
    <w:autoRedefine/>
    <w:uiPriority w:val="39"/>
    <w:unhideWhenUsed/>
    <w:rsid w:val="00D46F37"/>
    <w:pPr>
      <w:spacing w:after="100"/>
      <w:ind w:left="240"/>
    </w:pPr>
  </w:style>
  <w:style w:styleId="TOC3" w:type="paragraph">
    <w:name w:val="toc 3"/>
    <w:basedOn w:val="Normal"/>
    <w:next w:val="Normal"/>
    <w:autoRedefine/>
    <w:uiPriority w:val="39"/>
    <w:unhideWhenUsed/>
    <w:rsid w:val="00D46F37"/>
    <w:pPr>
      <w:spacing w:after="100"/>
      <w:ind w:left="480"/>
    </w:pPr>
  </w:style>
  <w:style w:customStyle="1" w:styleId="UnnumberedHeading1" w:type="paragraph">
    <w:name w:val="Unnumbered Heading 1"/>
    <w:basedOn w:val="Heading1"/>
    <w:qFormat/>
    <w:rsid w:val="00D265C5"/>
  </w:style>
  <w:style w:styleId="TableofFigures" w:type="paragraph">
    <w:name w:val="table of figures"/>
    <w:basedOn w:val="Normal"/>
    <w:next w:val="Normal"/>
    <w:uiPriority w:val="99"/>
    <w:unhideWhenUsed/>
    <w:rsid w:val="004D0D4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23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10" Type="http://schemas.openxmlformats.org/officeDocument/2006/relationships/footer" Target="footer4.xml"/>
<Relationship Id="rId11" Type="http://schemas.openxmlformats.org/officeDocument/2006/relationships/footer" Target="footer3.xml"/>
<Relationship Id="rId12" Type="http://schemas.openxmlformats.org/officeDocument/2006/relationships/footer" Target="footer6.xml"/>
<Relationship Id="rId13" Type="http://schemas.openxmlformats.org/officeDocument/2006/relationships/footer" Target="footer2.xml"/>
<Relationship Id="rId14" Type="http://schemas.openxmlformats.org/officeDocument/2006/relationships/footer" Target="footer5.xml"/>
<Relationship Id="rId20" Type="http://schemas.openxmlformats.org/officeDocument/2006/relationships/image" Target="media/rId20.png"/>
<Relationship Id="rId60" Type="http://schemas.openxmlformats.org/officeDocument/2006/relationships/hyperlink" Target="https://CRAN.R-project.org/package=cenGAM" TargetMode="External"/>
<Relationship Id="rId35" Type="http://schemas.openxmlformats.org/officeDocument/2006/relationships/hyperlink" Target="https://agrilife.tamu.edu/wp-content/uploads/2021/03/AgriFonts.zip" TargetMode="External"/>
<Relationship Id="rId58" Type="http://schemas.openxmlformats.org/officeDocument/2006/relationships/hyperlink" Target="https://code.usgs.gov/water/dataRetrieval" TargetMode="External"/>
<Relationship Id="rId29" Type="http://schemas.openxmlformats.org/officeDocument/2006/relationships/hyperlink" Target="https://davidgohel.github.io/flextable/" TargetMode="External"/>
<Relationship Id="rId39" Type="http://schemas.openxmlformats.org/officeDocument/2006/relationships/hyperlink" Target="https://doi.org/10.1002/lno.11786" TargetMode="External"/>
<Relationship Id="rId81" Type="http://schemas.openxmlformats.org/officeDocument/2006/relationships/hyperlink" Target="https://doi.org/10.1007/s10750-015-2200-x" TargetMode="External"/>
<Relationship Id="rId83" Type="http://schemas.openxmlformats.org/officeDocument/2006/relationships/hyperlink" Target="https://doi.org/10.1016/j.envsoft.2014.08.009" TargetMode="External"/>
<Relationship Id="rId64" Type="http://schemas.openxmlformats.org/officeDocument/2006/relationships/hyperlink" Target="https://doi.org/10.1016/j.hal.2008.08.006" TargetMode="External"/>
<Relationship Id="rId45" Type="http://schemas.openxmlformats.org/officeDocument/2006/relationships/hyperlink" Target="https://doi.org/10.1016/j.hal.2008.08.028" TargetMode="External"/>
<Relationship Id="rId93" Type="http://schemas.openxmlformats.org/officeDocument/2006/relationships/hyperlink" Target="https://doi.org/10.1016/j.jhydrol.2010.11.003" TargetMode="External"/>
<Relationship Id="rId97" Type="http://schemas.openxmlformats.org/officeDocument/2006/relationships/hyperlink" Target="https://doi.org/10.1016/j.jhydrol.2016.12.052" TargetMode="External"/>
<Relationship Id="rId70" Type="http://schemas.openxmlformats.org/officeDocument/2006/relationships/hyperlink" Target="https://doi.org/10.1016/j.marpolbul.2011.10.018" TargetMode="External"/>
<Relationship Id="rId47" Type="http://schemas.openxmlformats.org/officeDocument/2006/relationships/hyperlink" Target="https://doi.org/10.1016/j.marpolbul.2020.110903" TargetMode="External"/>
<Relationship Id="rId43" Type="http://schemas.openxmlformats.org/officeDocument/2006/relationships/hyperlink" Target="https://doi.org/10.1016/j.scitotenv.2022.154023" TargetMode="External"/>
<Relationship Id="rId79" Type="http://schemas.openxmlformats.org/officeDocument/2006/relationships/hyperlink" Target="https://doi.org/10.1021/acs.est.1c05388" TargetMode="External"/>
<Relationship Id="rId91" Type="http://schemas.openxmlformats.org/officeDocument/2006/relationships/hyperlink" Target="https://doi.org/10.1021/es902122j" TargetMode="External"/>
<Relationship Id="rId72" Type="http://schemas.openxmlformats.org/officeDocument/2006/relationships/hyperlink" Target="https://doi.org/10.1029/2011WR011080" TargetMode="External"/>
<Relationship Id="rId87" Type="http://schemas.openxmlformats.org/officeDocument/2006/relationships/hyperlink" Target="https://doi.org/10.1029/2021WR031523" TargetMode="External"/>
<Relationship Id="rId53" Type="http://schemas.openxmlformats.org/officeDocument/2006/relationships/hyperlink" Target="https://doi.org/10.1029/92WR01008" TargetMode="External"/>
<Relationship Id="rId74" Type="http://schemas.openxmlformats.org/officeDocument/2006/relationships/hyperlink" Target="https://doi.org/10.1038/s41598-021-95302-1" TargetMode="External"/>
<Relationship Id="rId62" Type="http://schemas.openxmlformats.org/officeDocument/2006/relationships/hyperlink" Target="https://doi.org/10.1061/(ASCE)EE.1943-7870.0001077" TargetMode="External"/>
<Relationship Id="rId68" Type="http://schemas.openxmlformats.org/officeDocument/2006/relationships/hyperlink" Target="https://doi.org/10.1080/1047322X.1990.10389587" TargetMode="External"/>
<Relationship Id="rId51" Type="http://schemas.openxmlformats.org/officeDocument/2006/relationships/hyperlink" Target="https://doi.org/10.1093/biomet/76.3.503" TargetMode="External"/>
<Relationship Id="rId37" Type="http://schemas.openxmlformats.org/officeDocument/2006/relationships/hyperlink" Target="https://doi.org/10.1111/1752-1688.12489" TargetMode="External"/>
<Relationship Id="rId95" Type="http://schemas.openxmlformats.org/officeDocument/2006/relationships/hyperlink" Target="https://doi.org/10.1111/j.1467-9868.2010.00749.x" TargetMode="External"/>
<Relationship Id="rId66" Type="http://schemas.openxmlformats.org/officeDocument/2006/relationships/hyperlink" Target="https://doi.org/10.1111/j.1752-1688.2010.00482.x" TargetMode="External"/>
<Relationship Id="rId77" Type="http://schemas.openxmlformats.org/officeDocument/2006/relationships/hyperlink" Target="https://doi.org/10.13031/trans.58.10715" TargetMode="External"/>
<Relationship Id="rId49" Type="http://schemas.openxmlformats.org/officeDocument/2006/relationships/hyperlink" Target="https://doi.org/10.18637/jss.v080.i01" TargetMode="External"/>
<Relationship Id="rId55" Type="http://schemas.openxmlformats.org/officeDocument/2006/relationships/hyperlink" Target="https://doi.org/10.3354/meps07423" TargetMode="External"/>
<Relationship Id="rId41" Type="http://schemas.openxmlformats.org/officeDocument/2006/relationships/hyperlink" Target="https://doi.org/10.3354/meps09267" TargetMode="External"/>
<Relationship Id="rId57" Type="http://schemas.openxmlformats.org/officeDocument/2006/relationships/hyperlink" Target="https://doi.org/10.5066/P9X4L3GE" TargetMode="External"/>
<Relationship Id="rId89" Type="http://schemas.openxmlformats.org/officeDocument/2006/relationships/hyperlink" Target="https://gavinsimpson.github.io/gratia/" TargetMode="External"/>
<Relationship Id="rId85" Type="http://schemas.openxmlformats.org/officeDocument/2006/relationships/hyperlink" Target="https://www.twdb.texas.gov/surfacewater/bays/coastal_hydrology/doc/TWDB_Matagorda_Hydrology_20110211.pdf" TargetMode="External"/>
<Relationship Id="rId98" Type="http://schemas.openxmlformats.org/officeDocument/2006/relationships/image" Target="media/file33e81a9c456e.png"/>
<Relationship Id="rId99" Type="http://schemas.openxmlformats.org/officeDocument/2006/relationships/image" Target="media/file33e8462f2375.png"/>
<Relationship Id="rId100" Type="http://schemas.openxmlformats.org/officeDocument/2006/relationships/image" Target="media/file33e883862dc.png"/>
</Relationships>

</file>

<file path=word/_rels/footnotes.xml.rels><?xml version="1.0" encoding="UTF-8" standalone="yes"?>

<Relationships  xmlns="http://schemas.openxmlformats.org/package/2006/relationships">
<Relationship Id="rId60" Type="http://schemas.openxmlformats.org/officeDocument/2006/relationships/hyperlink" Target="https://CRAN.R-project.org/package=cenGAM" TargetMode="External"/>
<Relationship Id="rId35" Type="http://schemas.openxmlformats.org/officeDocument/2006/relationships/hyperlink" Target="https://agrilife.tamu.edu/wp-content/uploads/2021/03/AgriFonts.zip" TargetMode="External"/>
<Relationship Id="rId58" Type="http://schemas.openxmlformats.org/officeDocument/2006/relationships/hyperlink" Target="https://code.usgs.gov/water/dataRetrieval" TargetMode="External"/>
<Relationship Id="rId29" Type="http://schemas.openxmlformats.org/officeDocument/2006/relationships/hyperlink" Target="https://davidgohel.github.io/flextable/" TargetMode="External"/>
<Relationship Id="rId39" Type="http://schemas.openxmlformats.org/officeDocument/2006/relationships/hyperlink" Target="https://doi.org/10.1002/lno.11786" TargetMode="External"/>
<Relationship Id="rId81" Type="http://schemas.openxmlformats.org/officeDocument/2006/relationships/hyperlink" Target="https://doi.org/10.1007/s10750-015-2200-x" TargetMode="External"/>
<Relationship Id="rId83" Type="http://schemas.openxmlformats.org/officeDocument/2006/relationships/hyperlink" Target="https://doi.org/10.1016/j.envsoft.2014.08.009" TargetMode="External"/>
<Relationship Id="rId64" Type="http://schemas.openxmlformats.org/officeDocument/2006/relationships/hyperlink" Target="https://doi.org/10.1016/j.hal.2008.08.006" TargetMode="External"/>
<Relationship Id="rId45" Type="http://schemas.openxmlformats.org/officeDocument/2006/relationships/hyperlink" Target="https://doi.org/10.1016/j.hal.2008.08.028" TargetMode="External"/>
<Relationship Id="rId93" Type="http://schemas.openxmlformats.org/officeDocument/2006/relationships/hyperlink" Target="https://doi.org/10.1016/j.jhydrol.2010.11.003" TargetMode="External"/>
<Relationship Id="rId97" Type="http://schemas.openxmlformats.org/officeDocument/2006/relationships/hyperlink" Target="https://doi.org/10.1016/j.jhydrol.2016.12.052" TargetMode="External"/>
<Relationship Id="rId70" Type="http://schemas.openxmlformats.org/officeDocument/2006/relationships/hyperlink" Target="https://doi.org/10.1016/j.marpolbul.2011.10.018" TargetMode="External"/>
<Relationship Id="rId47" Type="http://schemas.openxmlformats.org/officeDocument/2006/relationships/hyperlink" Target="https://doi.org/10.1016/j.marpolbul.2020.110903" TargetMode="External"/>
<Relationship Id="rId43" Type="http://schemas.openxmlformats.org/officeDocument/2006/relationships/hyperlink" Target="https://doi.org/10.1016/j.scitotenv.2022.154023" TargetMode="External"/>
<Relationship Id="rId79" Type="http://schemas.openxmlformats.org/officeDocument/2006/relationships/hyperlink" Target="https://doi.org/10.1021/acs.est.1c05388" TargetMode="External"/>
<Relationship Id="rId91" Type="http://schemas.openxmlformats.org/officeDocument/2006/relationships/hyperlink" Target="https://doi.org/10.1021/es902122j" TargetMode="External"/>
<Relationship Id="rId72" Type="http://schemas.openxmlformats.org/officeDocument/2006/relationships/hyperlink" Target="https://doi.org/10.1029/2011WR011080" TargetMode="External"/>
<Relationship Id="rId87" Type="http://schemas.openxmlformats.org/officeDocument/2006/relationships/hyperlink" Target="https://doi.org/10.1029/2021WR031523" TargetMode="External"/>
<Relationship Id="rId53" Type="http://schemas.openxmlformats.org/officeDocument/2006/relationships/hyperlink" Target="https://doi.org/10.1029/92WR01008" TargetMode="External"/>
<Relationship Id="rId74" Type="http://schemas.openxmlformats.org/officeDocument/2006/relationships/hyperlink" Target="https://doi.org/10.1038/s41598-021-95302-1" TargetMode="External"/>
<Relationship Id="rId62" Type="http://schemas.openxmlformats.org/officeDocument/2006/relationships/hyperlink" Target="https://doi.org/10.1061/(ASCE)EE.1943-7870.0001077" TargetMode="External"/>
<Relationship Id="rId68" Type="http://schemas.openxmlformats.org/officeDocument/2006/relationships/hyperlink" Target="https://doi.org/10.1080/1047322X.1990.10389587" TargetMode="External"/>
<Relationship Id="rId51" Type="http://schemas.openxmlformats.org/officeDocument/2006/relationships/hyperlink" Target="https://doi.org/10.1093/biomet/76.3.503" TargetMode="External"/>
<Relationship Id="rId37" Type="http://schemas.openxmlformats.org/officeDocument/2006/relationships/hyperlink" Target="https://doi.org/10.1111/1752-1688.12489" TargetMode="External"/>
<Relationship Id="rId95" Type="http://schemas.openxmlformats.org/officeDocument/2006/relationships/hyperlink" Target="https://doi.org/10.1111/j.1467-9868.2010.00749.x" TargetMode="External"/>
<Relationship Id="rId66" Type="http://schemas.openxmlformats.org/officeDocument/2006/relationships/hyperlink" Target="https://doi.org/10.1111/j.1752-1688.2010.00482.x" TargetMode="External"/>
<Relationship Id="rId77" Type="http://schemas.openxmlformats.org/officeDocument/2006/relationships/hyperlink" Target="https://doi.org/10.13031/trans.58.10715" TargetMode="External"/>
<Relationship Id="rId49" Type="http://schemas.openxmlformats.org/officeDocument/2006/relationships/hyperlink" Target="https://doi.org/10.18637/jss.v080.i01" TargetMode="External"/>
<Relationship Id="rId55" Type="http://schemas.openxmlformats.org/officeDocument/2006/relationships/hyperlink" Target="https://doi.org/10.3354/meps07423" TargetMode="External"/>
<Relationship Id="rId41" Type="http://schemas.openxmlformats.org/officeDocument/2006/relationships/hyperlink" Target="https://doi.org/10.3354/meps09267" TargetMode="External"/>
<Relationship Id="rId57" Type="http://schemas.openxmlformats.org/officeDocument/2006/relationships/hyperlink" Target="https://doi.org/10.5066/P9X4L3GE" TargetMode="External"/>
<Relationship Id="rId89" Type="http://schemas.openxmlformats.org/officeDocument/2006/relationships/hyperlink" Target="https://gavinsimpson.github.io/gratia/" TargetMode="External"/>
<Relationship Id="rId85" Type="http://schemas.openxmlformats.org/officeDocument/2006/relationships/hyperlink" Target="https://www.twdb.texas.gov/surfacewater/bays/coastal_hydrology/doc/TWDB_Matagorda_Hydrology_2011021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Open Sans"/>
        <a:ea typeface=""/>
        <a:cs typeface=""/>
      </a:majorFont>
      <a:minorFont>
        <a:latin typeface="Minion Pro"/>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9</Pages>
  <Words>814</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Total Maximum Daily Loads and Escherichia coli trends in Texas freshwater streams</vt:lpstr>
    </vt:vector>
  </TitlesOfParts>
  <Company/>
  <LinksUpToDate>false</LinksUpToDate>
  <CharactersWithSpaces>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Texas Coastal Nutrient Input Repository - Task 3 Report</dc:title>
  <dc:creator>Michael Schramm 1; 1 Research Specialist, Texas Water Resources Institute, Texas A&amp;M AgriLife Research</dc:creator>
  <cp:keywords/>
  <dcterms:created xsi:type="dcterms:W3CDTF">2022-12-01T21:20:19Z</dcterms:created>
  <dcterms:modified xsi:type="dcterms:W3CDTF">2022-12-01T15:20:19Z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bibliography.yaml</vt:lpwstr>
  </property>
  <property fmtid="{D5CDD505-2E9C-101B-9397-08002B2CF9AE}" pid="3" name="csl">
    <vt:lpwstr>council-of-science-editors-author-date.csl</vt:lpwstr>
  </property>
  <property fmtid="{D5CDD505-2E9C-101B-9397-08002B2CF9AE}" pid="4" name="date">
    <vt:lpwstr>December 1, 2021</vt:lpwstr>
  </property>
  <property fmtid="{D5CDD505-2E9C-101B-9397-08002B2CF9AE}" pid="5" name="output">
    <vt:lpwstr/>
  </property>
</Properties>
</file>