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rId25.png" ContentType="image/png"/>
  <Override PartName="/word/media/rId29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</w:p>
    <w:p>
      <w:pPr>
        <w:pStyle w:val="Date"/>
      </w:pPr>
      <w:r>
        <w:t xml:space="preserve">2023-05-16</w:t>
      </w:r>
    </w:p>
    <w:bookmarkStart w:id="24" w:name="methods"/>
    <w:p>
      <w:pPr>
        <w:pStyle w:val="Heading1"/>
      </w:pPr>
      <w:r>
        <w:t xml:space="preserve">Methods</w:t>
      </w:r>
    </w:p>
    <w:bookmarkStart w:id="20" w:name="survey"/>
    <w:p>
      <w:pPr>
        <w:pStyle w:val="Heading2"/>
      </w:pPr>
      <w:r>
        <w:t xml:space="preserve">Survey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1c48badd-d3ad-4aaf-a064-56d31f98267d" w:name="tabdem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48badd-d3ad-4aaf-a064-56d31f98267d"/>
      <w:r>
        <w:rPr/>
        <w:t xml:space="preserve">: </w:t>
      </w:r>
      <w:r>
        <w:t xml:space="preserve">Demographic profile (unadjusted) of survey respondents.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(48%)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(17%)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(19%)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(11%)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(66%)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(5.2%)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(38%)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(22%)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(12%)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3" w:name="data-analysis"/>
    <w:p>
      <w:pPr>
        <w:pStyle w:val="Heading2"/>
      </w:pPr>
      <w:r>
        <w:t xml:space="preserve">Data Analysis</w:t>
      </w:r>
    </w:p>
    <w:bookmarkStart w:id="21" w:name="weighting"/>
    <w:p>
      <w:pPr>
        <w:pStyle w:val="Heading3"/>
      </w:pPr>
      <w:r>
        <w:t xml:space="preserve">Weighting</w:t>
      </w:r>
    </w:p>
    <w:p>
      <w:pPr>
        <w:pStyle w:val="FirstParagraph"/>
      </w:pPr>
      <w:r>
        <w:t xml:space="preserve">Prior to analysis, individual survey responses were weighted so that</w:t>
      </w:r>
      <w:r>
        <w:t xml:space="preserve"> </w:t>
      </w:r>
      <w:r>
        <w:t xml:space="preserve">marginal proportions of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tabdemo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 matched</w:t>
      </w:r>
      <w:r>
        <w:t xml:space="preserve"> </w:t>
      </w:r>
      <w:r>
        <w:t xml:space="preserve">national level benchmarks from the 5-year 2021 American Community Survey (ACS)</w:t>
      </w:r>
      <w:r>
        <w:t xml:space="preserve"> </w:t>
      </w:r>
      <w:r>
        <w:t xml:space="preserve">on sex/gender, age group, race/ethnicity, and education level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tabweights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Weights on</w:t>
      </w:r>
      <w:r>
        <w:t xml:space="preserve"> </w:t>
      </w:r>
      <w:r>
        <w:t xml:space="preserve">gender were developed by re-coding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responses as</w:t>
      </w:r>
      <w:r>
        <w:t xml:space="preserve"> </w:t>
      </w:r>
      <w:r>
        <w:t xml:space="preserve">“</w:t>
      </w:r>
      <w:r>
        <w:t xml:space="preserve">non-male</w:t>
      </w:r>
      <w:r>
        <w:t xml:space="preserve">”</w:t>
      </w:r>
      <w:r>
        <w:t xml:space="preserve"> </w:t>
      </w:r>
      <w:r>
        <w:t xml:space="preserve">because the ACS only provides binary response options for sex. Using this approach,</w:t>
      </w:r>
      <w:r>
        <w:t xml:space="preserve"> </w:t>
      </w:r>
      <w:r>
        <w:t xml:space="preserve">responses from both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respondents have the same marginal weight.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 Due to small subpopulation sample sizes</w:t>
      </w:r>
      <w:r>
        <w:t xml:space="preserve"> </w:t>
      </w:r>
      <w:r>
        <w:t xml:space="preserve">within the Race/Ethnicity variable, Race/Ethnicity were recoded as</w:t>
      </w:r>
      <w:r>
        <w:t xml:space="preserve"> </w:t>
      </w:r>
      <w:r>
        <w:t xml:space="preserve">White or Caucasian and Non-white categories. Weights were</w:t>
      </w:r>
      <w:r>
        <w:t xml:space="preserve"> </w:t>
      </w:r>
      <w:r>
        <w:t xml:space="preserve">developed by poststratification raking using the American National Election</w:t>
      </w:r>
      <w:r>
        <w:t xml:space="preserve"> </w:t>
      </w:r>
      <w:r>
        <w:t xml:space="preserve">Study (ANES) weighting algorithm implemented in the</w:t>
      </w:r>
      <w:r>
        <w:t xml:space="preserve"> </w:t>
      </w:r>
      <w:r>
        <w:rPr>
          <w:iCs/>
          <w:i/>
        </w:rPr>
        <w:t xml:space="preserve">anesrake</w:t>
      </w:r>
      <w:r>
        <w:t xml:space="preserve"> </w:t>
      </w:r>
      <w:r>
        <w:t xml:space="preserve">R package</w:t>
      </w:r>
      <w:r>
        <w:t xml:space="preserve"> </w:t>
      </w:r>
      <w:r>
        <w:t xml:space="preserve">(DeBell and Krosnick 2009; Pasek 2018)</w:t>
      </w:r>
      <w: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13f7efa7-aa80-4ff4-a36c-17f6d3791d03" w:name="tabweigh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3f7efa7-aa80-4ff4-a36c-17f6d3791d03"/>
      <w:r>
        <w:rPr/>
        <w:t xml:space="preserve">: </w:t>
      </w:r>
      <w:r>
        <w:t xml:space="preserve">Marginal survey and target population proportions and marginal weighted values.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Target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21"/>
    <w:bookmarkStart w:id="22" w:name="models"/>
    <w:p>
      <w:pPr>
        <w:pStyle w:val="Heading3"/>
      </w:pPr>
      <w:r>
        <w:t xml:space="preserve">Models</w:t>
      </w:r>
    </w:p>
    <w:p>
      <w:pPr>
        <w:pStyle w:val="FirstParagraph"/>
      </w:pPr>
      <w:r>
        <w:t xml:space="preserve">We developed three different proportional odds models</w:t>
      </w:r>
      <w:r>
        <w:t xml:space="preserve"> </w:t>
      </w:r>
      <w:r>
        <w:t xml:space="preserve">(Agresti 2002)</w:t>
      </w:r>
      <w:r>
        <w:t xml:space="preserve"> </w:t>
      </w:r>
      <w:r>
        <w:t xml:space="preserve">to assess factors associated with a</w:t>
      </w:r>
      <w:r>
        <w:t xml:space="preserve"> </w:t>
      </w:r>
      <w:r>
        <w:t xml:space="preserve">respondent’s (1) self-described knowledge of PFAS (4 repsonses ranging from</w:t>
      </w:r>
      <w:r>
        <w:t xml:space="preserve"> </w:t>
      </w:r>
      <w:r>
        <w:t xml:space="preserve">“</w:t>
      </w:r>
      <w:r>
        <w:t xml:space="preserve">I’ve neve heard of it, and don’t know what it is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I’m confident I know</w:t>
      </w:r>
      <w:r>
        <w:t xml:space="preserve"> </w:t>
      </w:r>
      <w:r>
        <w:t xml:space="preserve">what it is</w:t>
      </w:r>
      <w:r>
        <w:t xml:space="preserve">”</w:t>
      </w:r>
      <w:r>
        <w:t xml:space="preserve">); (2) awareness of potential sources of PFAS (5 responses ranging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Not at all familiar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Extremely Familiar</w:t>
      </w:r>
      <w:r>
        <w:t xml:space="preserve">”</w:t>
      </w:r>
      <w:r>
        <w:t xml:space="preserve">); and (3) intention to change</w:t>
      </w:r>
      <w:r>
        <w:t xml:space="preserve"> </w:t>
      </w:r>
      <w:r>
        <w:t xml:space="preserve">use of items assosciated with PFAS (5 responses ranging from</w:t>
      </w:r>
      <w:r>
        <w:t xml:space="preserve"> </w:t>
      </w:r>
      <w:r>
        <w:t xml:space="preserve">“</w:t>
      </w:r>
      <w:r>
        <w:t xml:space="preserve">will never change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have already changed</w:t>
      </w:r>
      <w:r>
        <w:t xml:space="preserve">”</w:t>
      </w:r>
      <w:r>
        <w:t xml:space="preserve">). Dependent variables included Sex/Gender, Age,</w:t>
      </w:r>
      <w:r>
        <w:t xml:space="preserve"> </w:t>
      </w:r>
      <w:r>
        <w:t xml:space="preserve">Race/Ethnicity, Education, and awareness of community exposure to PFAS (Yes, No,</w:t>
      </w:r>
      <w:r>
        <w:t xml:space="preserve"> </w:t>
      </w:r>
      <w:r>
        <w:t xml:space="preserve">Not Sure). All models were fit using the survey package in R version 4.2.1</w:t>
      </w:r>
      <w:r>
        <w:t xml:space="preserve"> </w:t>
      </w:r>
      <w:r>
        <w:t xml:space="preserve">(Lumley 2004; R Core Team 2022)</w:t>
      </w:r>
      <w:r>
        <w:t xml:space="preserve">.</w:t>
      </w:r>
    </w:p>
    <w:bookmarkEnd w:id="22"/>
    <w:bookmarkEnd w:id="23"/>
    <w:bookmarkEnd w:id="24"/>
    <w:bookmarkStart w:id="3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majority of respondents have no knowledge (41.1%) or are unsure (47.4%) if</w:t>
      </w:r>
      <w:r>
        <w:t xml:space="preserve"> </w:t>
      </w:r>
      <w:r>
        <w:t xml:space="preserve">their community has been exposed to PFAS. Only 11.5% responded that they knew</w:t>
      </w:r>
      <w:r>
        <w:t xml:space="preserve"> </w:t>
      </w:r>
      <w:r>
        <w:t xml:space="preserve">their community has been exposed to PFAS. When asked to describe knowledge level</w:t>
      </w:r>
      <w:r>
        <w:t xml:space="preserve"> </w:t>
      </w:r>
      <w:r>
        <w:t xml:space="preserve">about PFAS, 45.1% responded that they have never heard of it and don’t know what</w:t>
      </w:r>
      <w:r>
        <w:t xml:space="preserve"> </w:t>
      </w:r>
      <w:r>
        <w:t xml:space="preserve">it is. An additional 31.6% responded they have heard of PFAS, but don’t know what</w:t>
      </w:r>
      <w:r>
        <w:t xml:space="preserve"> </w:t>
      </w:r>
      <w:r>
        <w:t xml:space="preserve">PFAS are.</w:t>
      </w:r>
    </w:p>
    <w:p>
      <w:pPr>
        <w:pStyle w:val="BodyText"/>
      </w:pPr>
      <w:r>
        <w:t xml:space="preserve">When asked about awareness of PFAS sources, between 45.0% and 51.1% of responses</w:t>
      </w:r>
      <w:r>
        <w:t xml:space="preserve"> </w:t>
      </w:r>
      <w:r>
        <w:t xml:space="preserve">were not familiar with the given source at all. In comparison only 5.9% to 9.2%</w:t>
      </w:r>
      <w:r>
        <w:t xml:space="preserve"> </w:t>
      </w:r>
      <w:r>
        <w:t xml:space="preserve">of responses indicated they were extremely familiar with the indicated source.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b0b59de5-cce0-4a44-880a-0b7c61e7406c" w:name="tabweightedrespons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0b59de5-cce0-4a44-880a-0b7c61e7406c"/>
      <w:r>
        <w:rPr/>
        <w:t xml:space="preserve">: </w:t>
      </w:r>
      <w:r>
        <w:t xml:space="preserve">Summary of weighted survey responses.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Response,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Response, SE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your knowledge, has your community been exposed to PFAS?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11.5, 1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47.4, 1.6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would you describe your knowledge about PFAS as an environmental contaminant?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never heard of it, and don't know what it 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45.1, 1.6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heard of it or seen it somewhere, but don't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31.6, 1.5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think I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I'm confident I know what it is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percentage of the U.S. population do you think has been exposed to PFAS?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53.6, 0.7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familiar are you with the following items as potential sources of PFAS?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Public waterways near waste disposal sites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45.2, 1.6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Soils near waste disposal sites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Dairy products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51.1, 1.6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 produce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Freshwater fish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48.7, 1.6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5.9, 0.7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Seafood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48.8, 1.6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Food packaging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Non-stick cookware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hygiene products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46.6, 1.6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Household products (fabrics, cleaning products, paints and sealants)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Fire extinguising foam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Fertilizers from wastewater plants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45.9, 1.6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8.1, 0.9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Start w:id="33" w:name="model-results"/>
    <w:p>
      <w:pPr>
        <w:pStyle w:val="Heading2"/>
      </w:pPr>
      <w:r>
        <w:t xml:space="preserve">Model Results</w:t>
      </w:r>
    </w:p>
    <w:p>
      <w:pPr>
        <w:pStyle w:val="FirstParagraph"/>
      </w:pPr>
      <w:r>
        <w:t xml:space="preserve">We did not find evidence for any association between Sex, Race/Ethnicity,</w:t>
      </w:r>
      <w:r>
        <w:t xml:space="preserve"> </w:t>
      </w:r>
      <w:r>
        <w:t xml:space="preserve">and Education with self-described knowledge about PFAS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tabmodel1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The odds</w:t>
      </w:r>
      <w:r>
        <w:t xml:space="preserve"> </w:t>
      </w:r>
      <w:r>
        <w:t xml:space="preserve">that someone in the 35:44 age bracket responded with a higher self-assessed</w:t>
      </w:r>
      <w:r>
        <w:t xml:space="preserve"> </w:t>
      </w:r>
      <w:r>
        <w:t xml:space="preserve">knowledge level was 1.63 times that of someone in the 18:24 reference group.</w:t>
      </w:r>
      <w:r>
        <w:t xml:space="preserve"> </w:t>
      </w:r>
      <w:r>
        <w:t xml:space="preserve">There is strong evidence that people aware of PFAS exposure in their communities</w:t>
      </w:r>
      <w:r>
        <w:t xml:space="preserve"> </w:t>
      </w:r>
      <w:r>
        <w:t xml:space="preserve">self-report higher levels of knowledge about PFAS. People aware of PFAS exposure</w:t>
      </w:r>
      <w:r>
        <w:t xml:space="preserve"> </w:t>
      </w:r>
      <w:r>
        <w:t xml:space="preserve">in their communities are 3.57 times and 4.35 times more likely to respond with a</w:t>
      </w:r>
      <w:r>
        <w:t xml:space="preserve"> </w:t>
      </w:r>
      <w:r>
        <w:t xml:space="preserve">higher self-asessed knowledge level than those responding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awareness of PFAS contamination in their communities.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ab2b1950-48db-4373-b4a8-d9017e835452" w:name="tabmodel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b2b1950-48db-4373-b4a8-d9017e835452"/>
      <w:r>
        <w:rPr/>
        <w:t xml:space="preserve">: </w:t>
      </w:r>
      <w:r>
        <w:t xml:space="preserve">Model 1 results.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0.87, 2.18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0.57, 3.32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0.61, 3.94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Community PFAS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0.16, 0.35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SE = Standard Error, CI = Confidence Interval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m2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2margins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Average marginal predicted probabilities to the question,</w:t>
            </w:r>
            <w:r>
              <w:t xml:space="preserve"> </w:t>
            </w:r>
            <w:r>
              <w:t xml:space="preserve">“</w:t>
            </w:r>
            <w:r>
              <w:t xml:space="preserve">how familiar are you with the following items as potential sources of PFAS contamination?</w:t>
            </w:r>
            <w:r>
              <w:t xml:space="preserve">”</w:t>
            </w:r>
            <w:r>
              <w:t xml:space="preserve"> </w:t>
            </w:r>
            <w:r>
              <w:t xml:space="preserve">Horizontal lines indicate the 95% confidence intervals of the marginal predicted probabilities.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m3margins"/>
          <w:p>
            <w:pPr>
              <w:jc w:val="center"/>
            </w:pPr>
            <w:r>
              <w:drawing>
                <wp:inline>
                  <wp:extent cx="5943600" cy="6858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ata_Analysis_files/figure-docx/fig-m3margin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85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Average marginal predicted probabilities to the question,</w:t>
            </w:r>
            <w:r>
              <w:t xml:space="preserve"> </w:t>
            </w:r>
            <w:r>
              <w:t xml:space="preserve">“</w:t>
            </w:r>
            <w:r>
              <w:t xml:space="preserve">Please rate your intention to change your use of the following items because of their potential for PFAS contamination.</w:t>
            </w:r>
            <w:r>
              <w:t xml:space="preserve">”</w:t>
            </w:r>
            <w:r>
              <w:t xml:space="preserve"> </w:t>
            </w:r>
            <w:r>
              <w:t xml:space="preserve">Horizontal lines indicate the 95% confidence intervals of the marginal predicted probabilities.</w:t>
            </w:r>
          </w:p>
          <w:bookmarkEnd w:id="32"/>
        </w:tc>
      </w:tr>
    </w:tbl>
    <w:bookmarkEnd w:id="33"/>
    <w:bookmarkEnd w:id="34"/>
    <w:bookmarkStart w:id="47" w:name="references"/>
    <w:p>
      <w:pPr>
        <w:pStyle w:val="Heading1"/>
      </w:pPr>
      <w:r>
        <w:t xml:space="preserve">References</w:t>
      </w:r>
    </w:p>
    <w:bookmarkStart w:id="46" w:name="refs"/>
    <w:bookmarkStart w:id="35" w:name="ref-agrestiCategoricalDataAnalysis2002"/>
    <w:p>
      <w:pPr>
        <w:pStyle w:val="Bibliography"/>
      </w:pPr>
      <w:r>
        <w:t xml:space="preserve">Agresti A. 2002. Categorical Data Analysis. 2nd ed. New York: Wiley-Interscience (Wiley series in probability and statistics).</w:t>
      </w:r>
    </w:p>
    <w:bookmarkEnd w:id="35"/>
    <w:bookmarkStart w:id="37" w:name="ref-debellComputingWeightsAmerican2009"/>
    <w:p>
      <w:pPr>
        <w:pStyle w:val="Bibliography"/>
      </w:pPr>
      <w:r>
        <w:t xml:space="preserve">DeBell M, Krosnick JA. 2009. Computing Weights for American National Election Study Survey Data. Ann Arbor, MI, and Palo Alto, CA: American National Election Studies ANES Technical Report series Report No.: nes012427.</w:t>
      </w:r>
      <w:r>
        <w:t xml:space="preserve"> </w:t>
      </w:r>
      <w:hyperlink r:id="rId36">
        <w:r>
          <w:rPr>
            <w:rStyle w:val="Hyperlink"/>
          </w:rPr>
          <w:t xml:space="preserve">http://www.electionstudies.org/resources/papers/nes012427.pdf</w:t>
        </w:r>
      </w:hyperlink>
      <w:r>
        <w:t xml:space="preserve">.</w:t>
      </w:r>
    </w:p>
    <w:bookmarkEnd w:id="37"/>
    <w:bookmarkStart w:id="39" w:name="ref-kennedyUsingSexGender2022"/>
    <w:p>
      <w:pPr>
        <w:pStyle w:val="Bibliography"/>
      </w:pPr>
      <w:r>
        <w:t xml:space="preserve">Kennedy L, Khanna K, Simpson D, Gelman A, Jia Y, Teitler J. 2022. Using sex and gender in survey adjustment.</w:t>
      </w:r>
      <w:r>
        <w:t xml:space="preserve"> </w:t>
      </w:r>
      <w:hyperlink r:id="rId38">
        <w:r>
          <w:rPr>
            <w:rStyle w:val="Hyperlink"/>
          </w:rPr>
          <w:t xml:space="preserve">http://arxiv.org/abs/2009.14401</w:t>
        </w:r>
      </w:hyperlink>
      <w:r>
        <w:t xml:space="preserve">.</w:t>
      </w:r>
    </w:p>
    <w:bookmarkEnd w:id="39"/>
    <w:bookmarkStart w:id="41" w:name="ref-lumleyAnalysisComplexSurvey2004"/>
    <w:p>
      <w:pPr>
        <w:pStyle w:val="Bibliography"/>
      </w:pPr>
      <w:r>
        <w:t xml:space="preserve">Lumley T. 2004. Analysis of complex survey samples. J Stat Soft. 9(8). doi:</w:t>
      </w:r>
      <w:hyperlink r:id="rId40">
        <w:r>
          <w:rPr>
            <w:rStyle w:val="Hyperlink"/>
          </w:rPr>
          <w:t xml:space="preserve">10.18637/jss.v009.i08</w:t>
        </w:r>
      </w:hyperlink>
      <w:r>
        <w:t xml:space="preserve">.</w:t>
      </w:r>
    </w:p>
    <w:bookmarkEnd w:id="41"/>
    <w:bookmarkStart w:id="43" w:name="ref-pasekAnesrakeANESRaking2018"/>
    <w:p>
      <w:pPr>
        <w:pStyle w:val="Bibliography"/>
      </w:pPr>
      <w:r>
        <w:t xml:space="preserve">Pasek J. 2018. anesrake: ANES Raking Implementation.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https://CRAN.R-project.org/package=anesrake</w:t>
        </w:r>
      </w:hyperlink>
      <w:r>
        <w:t xml:space="preserve">.</w:t>
      </w:r>
    </w:p>
    <w:bookmarkEnd w:id="43"/>
    <w:bookmarkStart w:id="45" w:name="X49453c0545b7de7f14f10cad417b18342e49481"/>
    <w:p>
      <w:pPr>
        <w:pStyle w:val="Bibliography"/>
      </w:pPr>
      <w:r>
        <w:t xml:space="preserve">R Core Team. 2022. R: A Language and Environment for Statistical Computing.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5"/>
    <w:bookmarkEnd w:id="46"/>
    <w:bookmarkEnd w:id="47"/>
    <w:sectPr w:rsidR="00AA63F6" w:rsidSect="00775D8B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5281349" w:numId="1">
    <w:abstractNumId w:val="9"/>
  </w:num>
  <w:num w16cid:durableId="157118068" w:numId="2">
    <w:abstractNumId w:val="7"/>
  </w:num>
  <w:num w16cid:durableId="160505475" w:numId="3">
    <w:abstractNumId w:val="6"/>
  </w:num>
  <w:num w16cid:durableId="938488924" w:numId="4">
    <w:abstractNumId w:val="5"/>
  </w:num>
  <w:num w16cid:durableId="1846550523" w:numId="5">
    <w:abstractNumId w:val="4"/>
  </w:num>
  <w:num w16cid:durableId="679698019" w:numId="6">
    <w:abstractNumId w:val="8"/>
  </w:num>
  <w:num w16cid:durableId="1191576854" w:numId="7">
    <w:abstractNumId w:val="3"/>
  </w:num>
  <w:num w16cid:durableId="1692877958" w:numId="8">
    <w:abstractNumId w:val="2"/>
  </w:num>
  <w:num w16cid:durableId="1370647900" w:numId="9">
    <w:abstractNumId w:val="1"/>
  </w:num>
  <w:num w16cid:durableId="1294291486" w:numId="10">
    <w:abstractNumId w:val="0"/>
  </w:num>
  <w:num w16cid:durableId="794131907" w:numId="11">
    <w:abstractNumId w:val="9"/>
  </w:num>
  <w:num w16cid:durableId="1253271361" w:numId="12">
    <w:abstractNumId w:val="7"/>
  </w:num>
  <w:num w16cid:durableId="385951431" w:numId="13">
    <w:abstractNumId w:val="6"/>
  </w:num>
  <w:num w16cid:durableId="1051004104" w:numId="14">
    <w:abstractNumId w:val="5"/>
  </w:num>
  <w:num w16cid:durableId="1400250046" w:numId="15">
    <w:abstractNumId w:val="4"/>
  </w:num>
  <w:num w16cid:durableId="1971789462" w:numId="16">
    <w:abstractNumId w:val="8"/>
  </w:num>
  <w:num w16cid:durableId="472137980" w:numId="17">
    <w:abstractNumId w:val="3"/>
  </w:num>
  <w:num w16cid:durableId="1978878400" w:numId="18">
    <w:abstractNumId w:val="2"/>
  </w:num>
  <w:num w16cid:durableId="1647928167" w:numId="19">
    <w:abstractNumId w:val="1"/>
  </w:num>
  <w:num w16cid:durableId="364329051" w:numId="20">
    <w:abstractNumId w:val="0"/>
  </w:num>
  <w:num w16cid:durableId="1961180925" w:numId="21">
    <w:abstractNumId w:val="9"/>
  </w:num>
  <w:num w16cid:durableId="339085202" w:numId="22">
    <w:abstractNumId w:val="7"/>
  </w:num>
  <w:num w16cid:durableId="1962150817" w:numId="23">
    <w:abstractNumId w:val="6"/>
  </w:num>
  <w:num w16cid:durableId="1090545631" w:numId="24">
    <w:abstractNumId w:val="5"/>
  </w:num>
  <w:num w16cid:durableId="1685012280" w:numId="25">
    <w:abstractNumId w:val="4"/>
  </w:num>
  <w:num w16cid:durableId="1934435614" w:numId="26">
    <w:abstractNumId w:val="8"/>
  </w:num>
  <w:num w16cid:durableId="606347226" w:numId="27">
    <w:abstractNumId w:val="3"/>
  </w:num>
  <w:num w16cid:durableId="1664308799" w:numId="28">
    <w:abstractNumId w:val="2"/>
  </w:num>
  <w:num w16cid:durableId="1341543847" w:numId="29">
    <w:abstractNumId w:val="1"/>
  </w:num>
  <w:num w16cid:durableId="6833832" w:numId="30">
    <w:abstractNumId w:val="0"/>
  </w:num>
  <w:num w16cid:durableId="1353341283" w:numId="31">
    <w:abstractNumId w:val="9"/>
  </w:num>
  <w:num w16cid:durableId="1110318846" w:numId="32">
    <w:abstractNumId w:val="7"/>
  </w:num>
  <w:num w16cid:durableId="141192473" w:numId="33">
    <w:abstractNumId w:val="6"/>
  </w:num>
  <w:num w16cid:durableId="1595742553" w:numId="34">
    <w:abstractNumId w:val="5"/>
  </w:num>
  <w:num w16cid:durableId="1174346177" w:numId="35">
    <w:abstractNumId w:val="4"/>
  </w:num>
  <w:num w16cid:durableId="1596091062" w:numId="36">
    <w:abstractNumId w:val="8"/>
  </w:num>
  <w:num w16cid:durableId="759105820" w:numId="37">
    <w:abstractNumId w:val="3"/>
  </w:num>
  <w:num w16cid:durableId="793713685" w:numId="38">
    <w:abstractNumId w:val="2"/>
  </w:num>
  <w:num w16cid:durableId="1399598278" w:numId="39">
    <w:abstractNumId w:val="1"/>
  </w:num>
  <w:num w16cid:durableId="1806121687" w:numId="40">
    <w:abstractNumId w:val="0"/>
  </w:num>
  <w:num w16cid:durableId="2013217238" w:numId="41">
    <w:abstractNumId w:val="9"/>
  </w:num>
  <w:num w16cid:durableId="308171141" w:numId="42">
    <w:abstractNumId w:val="7"/>
  </w:num>
  <w:num w16cid:durableId="345401730" w:numId="43">
    <w:abstractNumId w:val="6"/>
  </w:num>
  <w:num w16cid:durableId="560403427" w:numId="44">
    <w:abstractNumId w:val="5"/>
  </w:num>
  <w:num w16cid:durableId="1552225213" w:numId="45">
    <w:abstractNumId w:val="4"/>
  </w:num>
  <w:num w16cid:durableId="404109702" w:numId="46">
    <w:abstractNumId w:val="8"/>
  </w:num>
  <w:num w16cid:durableId="569314274" w:numId="47">
    <w:abstractNumId w:val="3"/>
  </w:num>
  <w:num w16cid:durableId="1256014008" w:numId="48">
    <w:abstractNumId w:val="2"/>
  </w:num>
  <w:num w16cid:durableId="1983465544" w:numId="49">
    <w:abstractNumId w:val="1"/>
  </w:num>
  <w:num w16cid:durableId="175265947" w:numId="5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5952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65952"/>
    <w:pPr>
      <w:keepNext/>
      <w:keepLines/>
      <w:spacing w:after="0" w:before="480"/>
      <w:outlineLvl w:val="0"/>
    </w:pPr>
    <w:rPr>
      <w:rFonts w:ascii="Arial" w:cstheme="majorBidi" w:eastAsiaTheme="majorEastAsia" w:hAnsi="Arial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65952"/>
    <w:pPr>
      <w:keepNext/>
      <w:keepLines/>
      <w:spacing w:after="0" w:before="200"/>
      <w:outlineLvl w:val="1"/>
    </w:pPr>
    <w:rPr>
      <w:rFonts w:ascii="Arial" w:cstheme="majorBidi" w:eastAsiaTheme="majorEastAsia" w:hAnsi="Arial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75D8B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265952"/>
    <w:pPr>
      <w:keepNext/>
      <w:keepLines/>
      <w:spacing w:after="240" w:before="480"/>
      <w:jc w:val="center"/>
    </w:pPr>
    <w:rPr>
      <w:rFonts w:ascii="Arial" w:cstheme="majorBidi" w:eastAsiaTheme="majorEastAsia" w:hAnsi="Arial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styleId="Date" w:type="paragraph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265952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9F3934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265952"/>
    <w:pPr>
      <w:spacing w:after="100" w:before="100"/>
    </w:pPr>
    <w:rPr>
      <w:rFonts w:ascii="Arial" w:cstheme="majorBidi" w:eastAsiaTheme="majorEastAsia" w:hAnsi="Arial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775D8B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4.xml" Type="http://schemas.openxmlformats.org/officeDocument/2006/relationships/footer" /><Relationship Id="rId11" Target="footer3.xml" Type="http://schemas.openxmlformats.org/officeDocument/2006/relationships/footer" /><Relationship Id="rId12" Target="footer6.xml" Type="http://schemas.openxmlformats.org/officeDocument/2006/relationships/footer" /><Relationship Id="rId13" Target="footer2.xml" Type="http://schemas.openxmlformats.org/officeDocument/2006/relationships/footer" /><Relationship Id="rId14" Target="footer5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8" Target="http://arxiv.org/abs/2009.14401" TargetMode="External" /><Relationship Type="http://schemas.openxmlformats.org/officeDocument/2006/relationships/hyperlink" Id="rId36" Target="http://www.electionstudies.org/resources/papers/nes012427.pdf" TargetMode="External" /><Relationship Type="http://schemas.openxmlformats.org/officeDocument/2006/relationships/hyperlink" Id="rId42" Target="https://CRAN.R-project.org/package=anesrake" TargetMode="External" /><Relationship Type="http://schemas.openxmlformats.org/officeDocument/2006/relationships/hyperlink" Id="rId40" Target="https://doi.org/10.18637/jss.v009.i08" TargetMode="External" /><Relationship Type="http://schemas.openxmlformats.org/officeDocument/2006/relationships/hyperlink" Id="rId44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arxiv.org/abs/2009.14401" TargetMode="External" /><Relationship Type="http://schemas.openxmlformats.org/officeDocument/2006/relationships/hyperlink" Id="rId36" Target="http://www.electionstudies.org/resources/papers/nes012427.pdf" TargetMode="External" /><Relationship Type="http://schemas.openxmlformats.org/officeDocument/2006/relationships/hyperlink" Id="rId42" Target="https://CRAN.R-project.org/package=anesrake" TargetMode="External" /><Relationship Type="http://schemas.openxmlformats.org/officeDocument/2006/relationships/hyperlink" Id="rId40" Target="https://doi.org/10.18637/jss.v009.i08" TargetMode="External" /><Relationship Type="http://schemas.openxmlformats.org/officeDocument/2006/relationships/hyperlink" Id="rId4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Michael Schramm</dc:creator>
  <cp:keywords/>
  <dcterms:created xsi:type="dcterms:W3CDTF">2023-05-16T21:13:06Z</dcterms:created>
  <dcterms:modified xsi:type="dcterms:W3CDTF">2023-05-16T21:13:06Z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bibliography.yaml</vt:lpwstr>
  </property>
  <property fmtid="{D5CDD505-2E9C-101B-9397-08002B2CF9AE}" pid="5" name="by-author">
    <vt:lpwstr/>
  </property>
  <property fmtid="{D5CDD505-2E9C-101B-9397-08002B2CF9AE}" pid="6" name="csl">
    <vt:lpwstr>https://www.zotero.org/styles/council-of-science-editors-author-date?source=1</vt:lpwstr>
  </property>
  <property fmtid="{D5CDD505-2E9C-101B-9397-08002B2CF9AE}" pid="7" name="date">
    <vt:lpwstr>2023-05-16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