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A76D" w14:textId="77777777" w:rsidR="00E70013" w:rsidRDefault="00000000">
      <w:pPr>
        <w:pStyle w:val="Heading1"/>
      </w:pPr>
      <w:bookmarkStart w:id="0" w:name="Xc6285c310cf649fea1d0c447e6f8bb058d5808f"/>
      <w:r>
        <w:t>Day-Ahead Energy Consumption and Price Forecasting</w:t>
      </w:r>
    </w:p>
    <w:p w14:paraId="61B8CE12" w14:textId="77777777" w:rsidR="00E70013" w:rsidRDefault="00000000">
      <w:pPr>
        <w:pStyle w:val="FirstParagraph"/>
      </w:pPr>
      <w:r>
        <w:rPr>
          <w:b/>
          <w:bCs/>
        </w:rPr>
        <w:t>Machine Learning Project Report</w:t>
      </w:r>
    </w:p>
    <w:p w14:paraId="136B5E40" w14:textId="77777777" w:rsidR="00E445C6" w:rsidRDefault="00E445C6">
      <w:pPr>
        <w:rPr>
          <w:rFonts w:asciiTheme="majorHAnsi" w:eastAsiaTheme="majorEastAsia" w:hAnsiTheme="majorHAnsi" w:cstheme="majorBidi"/>
          <w:color w:val="0F4761" w:themeColor="accent1" w:themeShade="BF"/>
          <w:sz w:val="32"/>
          <w:szCs w:val="32"/>
        </w:rPr>
      </w:pPr>
      <w:bookmarkStart w:id="1" w:name="problem-statement"/>
      <w:r>
        <w:br w:type="page"/>
      </w:r>
    </w:p>
    <w:p w14:paraId="09C681B4" w14:textId="45DEE7B1" w:rsidR="00E70013" w:rsidRDefault="00000000">
      <w:pPr>
        <w:pStyle w:val="Heading2"/>
      </w:pPr>
      <w:r>
        <w:lastRenderedPageBreak/>
        <w:t>1. Problem Statement</w:t>
      </w:r>
    </w:p>
    <w:p w14:paraId="1F6A7EDB" w14:textId="77777777" w:rsidR="00E70013" w:rsidRDefault="00000000">
      <w:pPr>
        <w:pStyle w:val="FirstParagraph"/>
      </w:pPr>
      <w:r>
        <w:t>Modern energy grids face unprecedented volatility due to the rapid integration of intermittent renewable energy sources, fluctuating macroeconomic conditions, and extreme weather events. The inability to accurately anticipate national grid consumption (MW) and day-ahead wholesale clearing prices (€/MWh) leads to suboptimal resource allocation, grid instability, and financial losses for market participants. The lack of an early-warning, data-driven system prevents proactive load balancing and efficient market bidding.</w:t>
      </w:r>
    </w:p>
    <w:p w14:paraId="53914E55" w14:textId="77777777" w:rsidR="00E70013" w:rsidRDefault="00000000">
      <w:pPr>
        <w:pStyle w:val="BodyText"/>
      </w:pPr>
      <w:r>
        <w:t>This project addresses a critical gap by developing a holistic time-series forecasting paradigm for Spain’s energy market. The system is designed to synthesize high-frequency grid metrics alongside meteorological reanalysis data to proactively identify demand spikes and market price anomalies. By moving away from reactive approaches, the system provides actionable foresight to grid operators, utilities, and major consumers.</w:t>
      </w:r>
    </w:p>
    <w:p w14:paraId="0876E441" w14:textId="77777777" w:rsidR="00E70013" w:rsidRDefault="00000000">
      <w:pPr>
        <w:pStyle w:val="BodyText"/>
      </w:pPr>
      <w:r>
        <w:t>Key challenges addressed by this project include:</w:t>
      </w:r>
    </w:p>
    <w:p w14:paraId="541F4F21" w14:textId="77777777" w:rsidR="00E70013" w:rsidRDefault="00000000">
      <w:pPr>
        <w:pStyle w:val="Compact"/>
        <w:numPr>
          <w:ilvl w:val="0"/>
          <w:numId w:val="2"/>
        </w:numPr>
      </w:pPr>
      <w:r>
        <w:t>Dual-target prediction mapping sequences for continuous Grid Consumption (MW) and Day-Ahead Market Price (€/MWh).</w:t>
      </w:r>
    </w:p>
    <w:p w14:paraId="502B83B2" w14:textId="77777777" w:rsidR="00E70013" w:rsidRDefault="00000000">
      <w:pPr>
        <w:pStyle w:val="Compact"/>
        <w:numPr>
          <w:ilvl w:val="0"/>
          <w:numId w:val="2"/>
        </w:numPr>
      </w:pPr>
      <w:r>
        <w:t>Navigating extreme price volatility and smoothing extreme outliers without losing signal integrity.</w:t>
      </w:r>
    </w:p>
    <w:p w14:paraId="30683448" w14:textId="77777777" w:rsidR="00E70013" w:rsidRDefault="00000000">
      <w:pPr>
        <w:pStyle w:val="Compact"/>
        <w:numPr>
          <w:ilvl w:val="0"/>
          <w:numId w:val="2"/>
        </w:numPr>
      </w:pPr>
      <w:r>
        <w:t>Feature engineering complex interactions representing historical memory structures and deterministic cyclical bounds.</w:t>
      </w:r>
    </w:p>
    <w:p w14:paraId="28AA8839" w14:textId="77777777" w:rsidR="00E70013" w:rsidRDefault="00000000">
      <w:pPr>
        <w:pStyle w:val="Compact"/>
        <w:numPr>
          <w:ilvl w:val="0"/>
          <w:numId w:val="2"/>
        </w:numPr>
      </w:pPr>
      <w:r>
        <w:t>Ensuring the machine learning framework mitigates “future leaking” through strict chronological model validation.</w:t>
      </w:r>
    </w:p>
    <w:p w14:paraId="2B39076F" w14:textId="77777777" w:rsidR="00E445C6" w:rsidRDefault="00E445C6">
      <w:pPr>
        <w:rPr>
          <w:rFonts w:asciiTheme="majorHAnsi" w:eastAsiaTheme="majorEastAsia" w:hAnsiTheme="majorHAnsi" w:cstheme="majorBidi"/>
          <w:color w:val="0F4761" w:themeColor="accent1" w:themeShade="BF"/>
          <w:sz w:val="32"/>
          <w:szCs w:val="32"/>
        </w:rPr>
      </w:pPr>
      <w:bookmarkStart w:id="2" w:name="objective-of-the-study"/>
      <w:bookmarkEnd w:id="1"/>
      <w:r>
        <w:br w:type="page"/>
      </w:r>
    </w:p>
    <w:p w14:paraId="3138B2EC" w14:textId="40482826" w:rsidR="00E70013" w:rsidRDefault="00000000">
      <w:pPr>
        <w:pStyle w:val="Heading2"/>
      </w:pPr>
      <w:r>
        <w:lastRenderedPageBreak/>
        <w:t>2. Objective of the Study</w:t>
      </w:r>
    </w:p>
    <w:p w14:paraId="6734D4C2" w14:textId="77777777" w:rsidR="00E70013" w:rsidRDefault="00000000">
      <w:pPr>
        <w:pStyle w:val="FirstParagraph"/>
      </w:pPr>
      <w:r>
        <w:t>The primary objectives of this project are:</w:t>
      </w:r>
    </w:p>
    <w:p w14:paraId="70D30C30" w14:textId="77777777" w:rsidR="00E70013" w:rsidRDefault="00000000">
      <w:pPr>
        <w:pStyle w:val="Compact"/>
        <w:numPr>
          <w:ilvl w:val="0"/>
          <w:numId w:val="3"/>
        </w:numPr>
      </w:pPr>
      <w:r>
        <w:t>To build a predictive ML pipeline that successfully regresses both Day-Ahead Energy Consumption and Market Price utilizing an extensive 82-variable feature vector.</w:t>
      </w:r>
    </w:p>
    <w:p w14:paraId="6B8774FC" w14:textId="77777777" w:rsidR="00E70013" w:rsidRDefault="00000000">
      <w:pPr>
        <w:pStyle w:val="Compact"/>
        <w:numPr>
          <w:ilvl w:val="0"/>
          <w:numId w:val="3"/>
        </w:numPr>
      </w:pPr>
      <w:r>
        <w:t>To engineer sophisticated temporal and domain interaction features, evaluating moving averages, autoregressive lags, and cyclical encodings.</w:t>
      </w:r>
    </w:p>
    <w:p w14:paraId="469FE8F3" w14:textId="77777777" w:rsidR="00E70013" w:rsidRDefault="00000000">
      <w:pPr>
        <w:pStyle w:val="Compact"/>
        <w:numPr>
          <w:ilvl w:val="0"/>
          <w:numId w:val="3"/>
        </w:numPr>
      </w:pPr>
      <w:r>
        <w:t>To compare multiple machine learning paradigms — XGBoost, GRU, Random Forest, Support Vector Machines, and baseline linear methods — on their predictive robustness and resilience to stochastic grid spikes.</w:t>
      </w:r>
    </w:p>
    <w:p w14:paraId="7FB8806D" w14:textId="77777777" w:rsidR="00E70013" w:rsidRDefault="00000000">
      <w:pPr>
        <w:pStyle w:val="Compact"/>
        <w:numPr>
          <w:ilvl w:val="0"/>
          <w:numId w:val="3"/>
        </w:numPr>
      </w:pPr>
      <w:r>
        <w:t>To successfully identify optimal ensemble combinations dynamically weighted via validation confidence.</w:t>
      </w:r>
    </w:p>
    <w:p w14:paraId="6423C0BE" w14:textId="77777777" w:rsidR="00E70013" w:rsidRDefault="00000000">
      <w:pPr>
        <w:pStyle w:val="Compact"/>
        <w:numPr>
          <w:ilvl w:val="0"/>
          <w:numId w:val="3"/>
        </w:numPr>
      </w:pPr>
      <w:r>
        <w:t>To deliver a production-ready application serving inference via a REST API server mapped to a frontend decision dashboard.</w:t>
      </w:r>
    </w:p>
    <w:p w14:paraId="59F25232" w14:textId="77777777" w:rsidR="00E445C6" w:rsidRDefault="00E445C6">
      <w:pPr>
        <w:rPr>
          <w:rFonts w:asciiTheme="majorHAnsi" w:eastAsiaTheme="majorEastAsia" w:hAnsiTheme="majorHAnsi" w:cstheme="majorBidi"/>
          <w:color w:val="0F4761" w:themeColor="accent1" w:themeShade="BF"/>
          <w:sz w:val="32"/>
          <w:szCs w:val="32"/>
        </w:rPr>
      </w:pPr>
      <w:bookmarkStart w:id="3" w:name="dataset-description"/>
      <w:bookmarkEnd w:id="2"/>
      <w:r>
        <w:br w:type="page"/>
      </w:r>
    </w:p>
    <w:p w14:paraId="4AA62FA2" w14:textId="4FC88064" w:rsidR="00E70013" w:rsidRDefault="00000000">
      <w:pPr>
        <w:pStyle w:val="Heading2"/>
      </w:pPr>
      <w:r>
        <w:lastRenderedPageBreak/>
        <w:t>3. Dataset Description</w:t>
      </w:r>
    </w:p>
    <w:p w14:paraId="647E484B" w14:textId="77777777" w:rsidR="00E70013" w:rsidRDefault="00000000">
      <w:pPr>
        <w:pStyle w:val="FirstParagraph"/>
      </w:pPr>
      <w:r>
        <w:t>The dataset tracks hourly energy metrics for Spain, synthesizing grid constraints with real-time planetary meteorological parameters.</w:t>
      </w:r>
    </w:p>
    <w:p w14:paraId="5BA85B68" w14:textId="77777777" w:rsidR="00E70013" w:rsidRDefault="00000000">
      <w:pPr>
        <w:pStyle w:val="Heading3"/>
      </w:pPr>
      <w:bookmarkStart w:id="4" w:name="dataset-overview"/>
      <w:r>
        <w:t>3.1 Dataset Overview</w:t>
      </w:r>
    </w:p>
    <w:tbl>
      <w:tblPr>
        <w:tblStyle w:val="Table"/>
        <w:tblW w:w="5000" w:type="pct"/>
        <w:tblLayout w:type="fixed"/>
        <w:tblLook w:val="0020" w:firstRow="1" w:lastRow="0" w:firstColumn="0" w:lastColumn="0" w:noHBand="0" w:noVBand="0"/>
      </w:tblPr>
      <w:tblGrid>
        <w:gridCol w:w="4788"/>
        <w:gridCol w:w="4788"/>
      </w:tblGrid>
      <w:tr w:rsidR="00E70013" w14:paraId="779013AC" w14:textId="77777777" w:rsidTr="00E70013">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C78FC7" w14:textId="77777777" w:rsidR="00E70013" w:rsidRDefault="00000000">
            <w:pPr>
              <w:pStyle w:val="Compact"/>
            </w:pPr>
            <w:r>
              <w:t>Attribute</w:t>
            </w:r>
          </w:p>
        </w:tc>
        <w:tc>
          <w:tcPr>
            <w:tcW w:w="3960" w:type="dxa"/>
          </w:tcPr>
          <w:p w14:paraId="56E3ADD1" w14:textId="77777777" w:rsidR="00E70013" w:rsidRDefault="00000000">
            <w:pPr>
              <w:pStyle w:val="Compact"/>
            </w:pPr>
            <w:r>
              <w:t>Value</w:t>
            </w:r>
          </w:p>
        </w:tc>
      </w:tr>
      <w:tr w:rsidR="00E70013" w14:paraId="5D97ABB9" w14:textId="77777777">
        <w:tc>
          <w:tcPr>
            <w:tcW w:w="3960" w:type="dxa"/>
          </w:tcPr>
          <w:p w14:paraId="6D4FAB23" w14:textId="77777777" w:rsidR="00E70013" w:rsidRDefault="00000000">
            <w:pPr>
              <w:pStyle w:val="Compact"/>
            </w:pPr>
            <w:r>
              <w:rPr>
                <w:b/>
                <w:bCs/>
              </w:rPr>
              <w:t>Data Sources</w:t>
            </w:r>
          </w:p>
        </w:tc>
        <w:tc>
          <w:tcPr>
            <w:tcW w:w="3960" w:type="dxa"/>
          </w:tcPr>
          <w:p w14:paraId="24654F15" w14:textId="77777777" w:rsidR="00E70013" w:rsidRDefault="00000000">
            <w:pPr>
              <w:pStyle w:val="Compact"/>
            </w:pPr>
            <w:r>
              <w:t>ENTSO-E API &amp; Open-Meteo ERA5 Reanalysis</w:t>
            </w:r>
          </w:p>
        </w:tc>
      </w:tr>
      <w:tr w:rsidR="00E70013" w14:paraId="3DA545B2" w14:textId="77777777">
        <w:tc>
          <w:tcPr>
            <w:tcW w:w="3960" w:type="dxa"/>
          </w:tcPr>
          <w:p w14:paraId="1EA3C2E8" w14:textId="77777777" w:rsidR="00E70013" w:rsidRDefault="00000000">
            <w:pPr>
              <w:pStyle w:val="Compact"/>
            </w:pPr>
            <w:r>
              <w:rPr>
                <w:b/>
                <w:bCs/>
              </w:rPr>
              <w:t>Total Features</w:t>
            </w:r>
          </w:p>
        </w:tc>
        <w:tc>
          <w:tcPr>
            <w:tcW w:w="3960" w:type="dxa"/>
          </w:tcPr>
          <w:p w14:paraId="0B790AF0" w14:textId="77777777" w:rsidR="00E70013" w:rsidRDefault="00000000">
            <w:pPr>
              <w:pStyle w:val="Compact"/>
            </w:pPr>
            <w:r>
              <w:t>82 Predictors</w:t>
            </w:r>
          </w:p>
        </w:tc>
      </w:tr>
      <w:tr w:rsidR="00E70013" w14:paraId="23B16811" w14:textId="77777777">
        <w:tc>
          <w:tcPr>
            <w:tcW w:w="3960" w:type="dxa"/>
          </w:tcPr>
          <w:p w14:paraId="086F9376" w14:textId="77777777" w:rsidR="00E70013" w:rsidRDefault="00000000">
            <w:pPr>
              <w:pStyle w:val="Compact"/>
            </w:pPr>
            <w:r>
              <w:rPr>
                <w:b/>
                <w:bCs/>
              </w:rPr>
              <w:t>Target Variables</w:t>
            </w:r>
          </w:p>
        </w:tc>
        <w:tc>
          <w:tcPr>
            <w:tcW w:w="3960" w:type="dxa"/>
          </w:tcPr>
          <w:p w14:paraId="3B78C885" w14:textId="77777777" w:rsidR="00E70013" w:rsidRDefault="00000000">
            <w:pPr>
              <w:pStyle w:val="Compact"/>
            </w:pPr>
            <w:r>
              <w:t>Grid Consumption (MW) &amp; Day-Ahead Price (€/MWh)</w:t>
            </w:r>
          </w:p>
        </w:tc>
      </w:tr>
      <w:tr w:rsidR="00E70013" w14:paraId="1509D67C" w14:textId="77777777">
        <w:tc>
          <w:tcPr>
            <w:tcW w:w="3960" w:type="dxa"/>
          </w:tcPr>
          <w:p w14:paraId="67F20E2B" w14:textId="77777777" w:rsidR="00E70013" w:rsidRDefault="00000000">
            <w:pPr>
              <w:pStyle w:val="Compact"/>
            </w:pPr>
            <w:r>
              <w:rPr>
                <w:b/>
                <w:bCs/>
              </w:rPr>
              <w:t>Train / Val / Test Split</w:t>
            </w:r>
          </w:p>
        </w:tc>
        <w:tc>
          <w:tcPr>
            <w:tcW w:w="3960" w:type="dxa"/>
          </w:tcPr>
          <w:p w14:paraId="4C167817" w14:textId="77777777" w:rsidR="00E70013" w:rsidRDefault="00000000">
            <w:pPr>
              <w:pStyle w:val="Compact"/>
            </w:pPr>
            <w:r>
              <w:t>88% Train / 8.8% Val / 2.9% Test</w:t>
            </w:r>
          </w:p>
        </w:tc>
      </w:tr>
      <w:tr w:rsidR="00E70013" w14:paraId="0B4E6B79" w14:textId="77777777">
        <w:tc>
          <w:tcPr>
            <w:tcW w:w="3960" w:type="dxa"/>
          </w:tcPr>
          <w:p w14:paraId="35761B81" w14:textId="3F6F508F" w:rsidR="00E70013" w:rsidRDefault="00000000">
            <w:pPr>
              <w:pStyle w:val="Compact"/>
            </w:pPr>
            <w:r>
              <w:rPr>
                <w:b/>
                <w:bCs/>
              </w:rPr>
              <w:t xml:space="preserve">Total </w:t>
            </w:r>
            <w:r w:rsidR="00364352">
              <w:rPr>
                <w:b/>
                <w:bCs/>
              </w:rPr>
              <w:t>Dataset</w:t>
            </w:r>
            <w:r>
              <w:rPr>
                <w:b/>
                <w:bCs/>
              </w:rPr>
              <w:t xml:space="preserve"> Size</w:t>
            </w:r>
          </w:p>
        </w:tc>
        <w:tc>
          <w:tcPr>
            <w:tcW w:w="3960" w:type="dxa"/>
          </w:tcPr>
          <w:p w14:paraId="0F09F025" w14:textId="29307E6B" w:rsidR="00E70013" w:rsidRDefault="00000000">
            <w:pPr>
              <w:pStyle w:val="Compact"/>
            </w:pPr>
            <w:r>
              <w:t xml:space="preserve">Over </w:t>
            </w:r>
            <w:r w:rsidR="00364352">
              <w:t>98k</w:t>
            </w:r>
            <w:r>
              <w:t xml:space="preserve"> samples</w:t>
            </w:r>
            <w:r w:rsidR="00364352">
              <w:t xml:space="preserve"> </w:t>
            </w:r>
          </w:p>
        </w:tc>
      </w:tr>
    </w:tbl>
    <w:p w14:paraId="7E5096C0" w14:textId="77777777" w:rsidR="00E445C6" w:rsidRDefault="00E445C6">
      <w:pPr>
        <w:pStyle w:val="Heading3"/>
      </w:pPr>
      <w:bookmarkStart w:id="5" w:name="feature-descriptions"/>
      <w:bookmarkEnd w:id="4"/>
    </w:p>
    <w:p w14:paraId="4077D238" w14:textId="0A2B60C0" w:rsidR="00E445C6" w:rsidRDefault="00E445C6">
      <w:pPr>
        <w:rPr>
          <w:rFonts w:eastAsiaTheme="majorEastAsia" w:cstheme="majorBidi"/>
          <w:color w:val="0F4761" w:themeColor="accent1" w:themeShade="BF"/>
          <w:sz w:val="28"/>
          <w:szCs w:val="28"/>
        </w:rPr>
      </w:pPr>
    </w:p>
    <w:p w14:paraId="5A7DC4FE" w14:textId="74B43590" w:rsidR="00E70013" w:rsidRDefault="00000000">
      <w:pPr>
        <w:pStyle w:val="Heading3"/>
      </w:pPr>
      <w:r>
        <w:t>3.2 Feature Descriptions</w:t>
      </w:r>
    </w:p>
    <w:p w14:paraId="25FB1B6B" w14:textId="77777777" w:rsidR="00E70013" w:rsidRDefault="00000000">
      <w:pPr>
        <w:pStyle w:val="FirstParagraph"/>
      </w:pPr>
      <w:r>
        <w:t>The dataset features are broadly categorized to capture multi-dimensional grid attributes.</w:t>
      </w:r>
    </w:p>
    <w:tbl>
      <w:tblPr>
        <w:tblStyle w:val="Table"/>
        <w:tblW w:w="5000" w:type="pct"/>
        <w:tblLayout w:type="fixed"/>
        <w:tblLook w:val="0020" w:firstRow="1" w:lastRow="0" w:firstColumn="0" w:lastColumn="0" w:noHBand="0" w:noVBand="0"/>
      </w:tblPr>
      <w:tblGrid>
        <w:gridCol w:w="4788"/>
        <w:gridCol w:w="4788"/>
      </w:tblGrid>
      <w:tr w:rsidR="00E70013" w14:paraId="7AC732DD" w14:textId="77777777" w:rsidTr="00E7001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5794DD" w14:textId="77777777" w:rsidR="00E70013" w:rsidRDefault="00000000">
            <w:pPr>
              <w:pStyle w:val="Compact"/>
            </w:pPr>
            <w:r>
              <w:t>Feature Type</w:t>
            </w:r>
          </w:p>
        </w:tc>
        <w:tc>
          <w:tcPr>
            <w:tcW w:w="3960" w:type="dxa"/>
          </w:tcPr>
          <w:p w14:paraId="13F6B695" w14:textId="77777777" w:rsidR="00E70013" w:rsidRDefault="00000000">
            <w:pPr>
              <w:pStyle w:val="Compact"/>
            </w:pPr>
            <w:r>
              <w:t>Description</w:t>
            </w:r>
          </w:p>
        </w:tc>
      </w:tr>
      <w:tr w:rsidR="00E70013" w14:paraId="5BF96363" w14:textId="77777777">
        <w:tc>
          <w:tcPr>
            <w:tcW w:w="3960" w:type="dxa"/>
          </w:tcPr>
          <w:p w14:paraId="46F74617" w14:textId="77777777" w:rsidR="00E70013" w:rsidRDefault="00000000">
            <w:pPr>
              <w:pStyle w:val="Compact"/>
            </w:pPr>
            <w:r>
              <w:rPr>
                <w:b/>
                <w:bCs/>
              </w:rPr>
              <w:t>Original Grid Features</w:t>
            </w:r>
          </w:p>
        </w:tc>
        <w:tc>
          <w:tcPr>
            <w:tcW w:w="3960" w:type="dxa"/>
          </w:tcPr>
          <w:p w14:paraId="1748B94C" w14:textId="77777777" w:rsidR="00E70013" w:rsidRDefault="00000000">
            <w:pPr>
              <w:pStyle w:val="Compact"/>
            </w:pPr>
            <w:r>
              <w:t>Raw load data, supply-side generation paradigms, and renewable generation mixes mapping baseline grid states.</w:t>
            </w:r>
          </w:p>
        </w:tc>
      </w:tr>
      <w:tr w:rsidR="00E70013" w14:paraId="25545718" w14:textId="77777777">
        <w:tc>
          <w:tcPr>
            <w:tcW w:w="3960" w:type="dxa"/>
          </w:tcPr>
          <w:p w14:paraId="0966B173" w14:textId="77777777" w:rsidR="00E70013" w:rsidRDefault="00000000">
            <w:pPr>
              <w:pStyle w:val="Compact"/>
            </w:pPr>
            <w:r>
              <w:rPr>
                <w:b/>
                <w:bCs/>
              </w:rPr>
              <w:t>Meteorological Features</w:t>
            </w:r>
          </w:p>
        </w:tc>
        <w:tc>
          <w:tcPr>
            <w:tcW w:w="3960" w:type="dxa"/>
          </w:tcPr>
          <w:p w14:paraId="43B22C25" w14:textId="77777777" w:rsidR="00E70013" w:rsidRDefault="00000000">
            <w:pPr>
              <w:pStyle w:val="Compact"/>
            </w:pPr>
            <w:r>
              <w:t>Continental and national centroid temperature, solar radiation, and wind speeds impacting renewable efficiency.</w:t>
            </w:r>
          </w:p>
        </w:tc>
      </w:tr>
      <w:tr w:rsidR="00E70013" w14:paraId="4AA0C66E" w14:textId="77777777">
        <w:tc>
          <w:tcPr>
            <w:tcW w:w="3960" w:type="dxa"/>
          </w:tcPr>
          <w:p w14:paraId="2F9DEA6B" w14:textId="77777777" w:rsidR="00E70013" w:rsidRDefault="00000000">
            <w:pPr>
              <w:pStyle w:val="Compact"/>
            </w:pPr>
            <w:r>
              <w:rPr>
                <w:b/>
                <w:bCs/>
              </w:rPr>
              <w:t>Autoregressive Lags</w:t>
            </w:r>
          </w:p>
        </w:tc>
        <w:tc>
          <w:tcPr>
            <w:tcW w:w="3960" w:type="dxa"/>
          </w:tcPr>
          <w:p w14:paraId="5836D546" w14:textId="77777777" w:rsidR="00E70013" w:rsidRDefault="00000000">
            <w:pPr>
              <w:pStyle w:val="Compact"/>
            </w:pPr>
            <w:r>
              <w:t>Memory structures tracking historical target metrics at specific cyclical horizons (1h, 24h, 48h, and 168h lags).</w:t>
            </w:r>
          </w:p>
        </w:tc>
      </w:tr>
      <w:tr w:rsidR="00E70013" w14:paraId="677CF345" w14:textId="77777777">
        <w:tc>
          <w:tcPr>
            <w:tcW w:w="3960" w:type="dxa"/>
          </w:tcPr>
          <w:p w14:paraId="14E9484C" w14:textId="77777777" w:rsidR="00E70013" w:rsidRDefault="00000000">
            <w:pPr>
              <w:pStyle w:val="Compact"/>
            </w:pPr>
            <w:r>
              <w:rPr>
                <w:b/>
                <w:bCs/>
              </w:rPr>
              <w:t>Rolling Statistics</w:t>
            </w:r>
          </w:p>
        </w:tc>
        <w:tc>
          <w:tcPr>
            <w:tcW w:w="3960" w:type="dxa"/>
          </w:tcPr>
          <w:p w14:paraId="54875962" w14:textId="77777777" w:rsidR="00E70013" w:rsidRDefault="00000000">
            <w:pPr>
              <w:pStyle w:val="Compact"/>
            </w:pPr>
            <w:r>
              <w:t>24h to 168h moving averages and rolling standard deviations representing macro systematic volatility limits.</w:t>
            </w:r>
          </w:p>
        </w:tc>
      </w:tr>
      <w:tr w:rsidR="00E70013" w14:paraId="2167F42E" w14:textId="77777777">
        <w:tc>
          <w:tcPr>
            <w:tcW w:w="3960" w:type="dxa"/>
          </w:tcPr>
          <w:p w14:paraId="3F8D82C5" w14:textId="77777777" w:rsidR="00E70013" w:rsidRDefault="00000000">
            <w:pPr>
              <w:pStyle w:val="Compact"/>
            </w:pPr>
            <w:r>
              <w:rPr>
                <w:b/>
                <w:bCs/>
              </w:rPr>
              <w:t>Cyclical Encoding</w:t>
            </w:r>
          </w:p>
        </w:tc>
        <w:tc>
          <w:tcPr>
            <w:tcW w:w="3960" w:type="dxa"/>
          </w:tcPr>
          <w:p w14:paraId="32DE9E34" w14:textId="77777777" w:rsidR="00E70013" w:rsidRDefault="00000000">
            <w:pPr>
              <w:pStyle w:val="Compact"/>
            </w:pPr>
            <w:r>
              <w:t>Continuous coordinate trigonometric variables (</w:t>
            </w:r>
            <w:r>
              <w:rPr>
                <w:rStyle w:val="VerbatimChar"/>
              </w:rPr>
              <w:t>hour_sin</w:t>
            </w:r>
            <w:r>
              <w:t xml:space="preserve">, </w:t>
            </w:r>
            <w:r>
              <w:rPr>
                <w:rStyle w:val="VerbatimChar"/>
              </w:rPr>
              <w:t>hour_cos</w:t>
            </w:r>
            <w:r>
              <w:t>) preventing arbitrary gradient jumps across daily or weekly limits.</w:t>
            </w:r>
          </w:p>
        </w:tc>
      </w:tr>
    </w:tbl>
    <w:p w14:paraId="2C0F4089" w14:textId="77777777" w:rsidR="00E70013" w:rsidRDefault="00000000">
      <w:pPr>
        <w:pStyle w:val="Heading2"/>
      </w:pPr>
      <w:bookmarkStart w:id="6" w:name="data-preparation-processing"/>
      <w:bookmarkEnd w:id="3"/>
      <w:bookmarkEnd w:id="5"/>
      <w:r>
        <w:lastRenderedPageBreak/>
        <w:t>4. Data Preparation &amp; Processing</w:t>
      </w:r>
    </w:p>
    <w:p w14:paraId="602B879B" w14:textId="77777777" w:rsidR="00E70013" w:rsidRDefault="00000000">
      <w:pPr>
        <w:pStyle w:val="FirstParagraph"/>
      </w:pPr>
      <w:r>
        <w:t>Raw sequences required comprehensive transformations ensuring model stability against severe outliers mapping.</w:t>
      </w:r>
    </w:p>
    <w:p w14:paraId="00FE3C39" w14:textId="77777777" w:rsidR="00E70013" w:rsidRDefault="00000000">
      <w:pPr>
        <w:numPr>
          <w:ilvl w:val="0"/>
          <w:numId w:val="4"/>
        </w:numPr>
      </w:pPr>
      <w:r>
        <w:rPr>
          <w:b/>
          <w:bCs/>
        </w:rPr>
        <w:t>Source Ingestion:</w:t>
      </w:r>
      <w:r>
        <w:t xml:space="preserve"> Continuous and robust extraction from ENTSO-E and Open-Meteo, scaling deterministically.</w:t>
      </w:r>
    </w:p>
    <w:p w14:paraId="3459144D" w14:textId="77777777" w:rsidR="00E70013" w:rsidRDefault="00000000">
      <w:pPr>
        <w:numPr>
          <w:ilvl w:val="0"/>
          <w:numId w:val="4"/>
        </w:numPr>
      </w:pPr>
      <w:r>
        <w:rPr>
          <w:b/>
          <w:bCs/>
        </w:rPr>
        <w:t>Missing Value Harmonization:</w:t>
      </w:r>
      <w:r>
        <w:t xml:space="preserve"> Extrapolating point-coordinate discontinuities and temporally interpolating values to maintain time-sequence integrity seamlessly.</w:t>
      </w:r>
    </w:p>
    <w:p w14:paraId="586C8D49" w14:textId="77777777" w:rsidR="00E70013" w:rsidRDefault="00000000">
      <w:pPr>
        <w:numPr>
          <w:ilvl w:val="0"/>
          <w:numId w:val="4"/>
        </w:numPr>
      </w:pPr>
      <w:r>
        <w:rPr>
          <w:b/>
          <w:bCs/>
        </w:rPr>
        <w:t>Chronological Splitting:</w:t>
      </w:r>
      <w:r>
        <w:t xml:space="preserve"> Maintaining the strict causality of time series (no forward data leaking). The temporal splits are 2019-2024 (Training), 2025 (Validation), and early 2026 (Testing).</w:t>
      </w:r>
    </w:p>
    <w:p w14:paraId="57752184" w14:textId="77777777" w:rsidR="00E70013" w:rsidRDefault="00000000">
      <w:pPr>
        <w:numPr>
          <w:ilvl w:val="0"/>
          <w:numId w:val="4"/>
        </w:numPr>
      </w:pPr>
      <w:r>
        <w:rPr>
          <w:b/>
          <w:bCs/>
        </w:rPr>
        <w:t>Data Normalization:</w:t>
      </w:r>
      <w:r>
        <w:t xml:space="preserve"> Systematic scaling through StandardScaler across numeric distributions mapped strictly isolated to training splits to prevent variance leaks.</w:t>
      </w:r>
    </w:p>
    <w:p w14:paraId="5D32A542" w14:textId="77777777" w:rsidR="00E445C6" w:rsidRDefault="00E445C6">
      <w:pPr>
        <w:rPr>
          <w:rFonts w:asciiTheme="majorHAnsi" w:eastAsiaTheme="majorEastAsia" w:hAnsiTheme="majorHAnsi" w:cstheme="majorBidi"/>
          <w:color w:val="0F4761" w:themeColor="accent1" w:themeShade="BF"/>
          <w:sz w:val="32"/>
          <w:szCs w:val="32"/>
        </w:rPr>
      </w:pPr>
      <w:bookmarkStart w:id="7" w:name="feature-engineering"/>
      <w:bookmarkEnd w:id="6"/>
      <w:r>
        <w:br w:type="page"/>
      </w:r>
    </w:p>
    <w:p w14:paraId="4393AE01" w14:textId="674856B1" w:rsidR="00E70013" w:rsidRDefault="00000000">
      <w:pPr>
        <w:pStyle w:val="Heading2"/>
      </w:pPr>
      <w:r>
        <w:lastRenderedPageBreak/>
        <w:t>5. Feature Engineering</w:t>
      </w:r>
    </w:p>
    <w:p w14:paraId="1387292B" w14:textId="77777777" w:rsidR="00E70013" w:rsidRDefault="00000000">
      <w:pPr>
        <w:pStyle w:val="FirstParagraph"/>
      </w:pPr>
      <w:r>
        <w:t>Dynamic deterministic transformations proved critical to the successful mitigation of non-linear grid behaviors mapping continuous relationships.</w:t>
      </w:r>
    </w:p>
    <w:p w14:paraId="43431111" w14:textId="77777777" w:rsidR="00E70013" w:rsidRDefault="00000000">
      <w:pPr>
        <w:pStyle w:val="BodyText"/>
      </w:pPr>
      <w:r>
        <w:rPr>
          <w:b/>
          <w:bCs/>
        </w:rPr>
        <w:t>Key Engineered Interactions:</w:t>
      </w:r>
    </w:p>
    <w:p w14:paraId="7EF286B9" w14:textId="77777777" w:rsidR="00E70013" w:rsidRDefault="00000000">
      <w:pPr>
        <w:numPr>
          <w:ilvl w:val="0"/>
          <w:numId w:val="5"/>
        </w:numPr>
      </w:pPr>
      <w:r w:rsidRPr="00364352">
        <w:rPr>
          <w:rStyle w:val="VerbatimChar"/>
          <w:b/>
          <w:bCs/>
        </w:rPr>
        <w:t>consumption_rolling_mean_24h</w:t>
      </w:r>
      <w:r w:rsidRPr="00364352">
        <w:rPr>
          <w:b/>
          <w:bCs/>
        </w:rPr>
        <w:t xml:space="preserve"> &amp; </w:t>
      </w:r>
      <w:r w:rsidRPr="00364352">
        <w:rPr>
          <w:rStyle w:val="VerbatimChar"/>
          <w:b/>
          <w:bCs/>
        </w:rPr>
        <w:t>price_rolling_std_24h</w:t>
      </w:r>
      <w:r w:rsidRPr="00364352">
        <w:rPr>
          <w:b/>
          <w:bCs/>
        </w:rPr>
        <w:t>:</w:t>
      </w:r>
      <w:r>
        <w:t xml:space="preserve"> Functions as a low-pass filter to capture structural trend continuity over noisy spans.</w:t>
      </w:r>
    </w:p>
    <w:p w14:paraId="39276756" w14:textId="77777777" w:rsidR="00E70013" w:rsidRDefault="00000000">
      <w:pPr>
        <w:numPr>
          <w:ilvl w:val="0"/>
          <w:numId w:val="5"/>
        </w:numPr>
      </w:pPr>
      <w:r w:rsidRPr="00364352">
        <w:rPr>
          <w:rStyle w:val="VerbatimChar"/>
          <w:b/>
          <w:bCs/>
        </w:rPr>
        <w:t>temp_consumption_interaction</w:t>
      </w:r>
      <w:r w:rsidRPr="00364352">
        <w:rPr>
          <w:b/>
          <w:bCs/>
        </w:rPr>
        <w:t>:</w:t>
      </w:r>
      <w:r>
        <w:t xml:space="preserve"> Captures the fundamental non-linear boundary constraints of temperature-to-load effects (e.g., intensive summer HVAC usage).</w:t>
      </w:r>
    </w:p>
    <w:p w14:paraId="37B41919" w14:textId="77777777" w:rsidR="00E70013" w:rsidRDefault="00000000">
      <w:pPr>
        <w:numPr>
          <w:ilvl w:val="0"/>
          <w:numId w:val="5"/>
        </w:numPr>
      </w:pPr>
      <w:r w:rsidRPr="00364352">
        <w:rPr>
          <w:rStyle w:val="VerbatimChar"/>
          <w:b/>
          <w:bCs/>
        </w:rPr>
        <w:t>renewable_percentage</w:t>
      </w:r>
      <w:r w:rsidRPr="00364352">
        <w:rPr>
          <w:b/>
          <w:bCs/>
        </w:rPr>
        <w:t>:</w:t>
      </w:r>
      <w:r>
        <w:t xml:space="preserve"> Immediately maps supply surplus, directly driving merit-order algorithmic price collapse points towards €0/MWh.</w:t>
      </w:r>
    </w:p>
    <w:p w14:paraId="1333992B" w14:textId="77777777" w:rsidR="00E70013" w:rsidRDefault="00000000">
      <w:pPr>
        <w:numPr>
          <w:ilvl w:val="0"/>
          <w:numId w:val="5"/>
        </w:numPr>
      </w:pPr>
      <w:r>
        <w:rPr>
          <w:b/>
          <w:bCs/>
        </w:rPr>
        <w:t>Cyclical Mappings:</w:t>
      </w:r>
      <w:r>
        <w:t xml:space="preserve"> Incorporating </w:t>
      </w:r>
      <w:r>
        <w:rPr>
          <w:rStyle w:val="VerbatimChar"/>
        </w:rPr>
        <w:t>dayofweek_sin</w:t>
      </w:r>
      <w:r>
        <w:t xml:space="preserve"> and </w:t>
      </w:r>
      <w:r>
        <w:rPr>
          <w:rStyle w:val="VerbatimChar"/>
        </w:rPr>
        <w:t>dayofweek_cos</w:t>
      </w:r>
      <w:r>
        <w:t xml:space="preserve"> completely mitigates sequence biases differentiating weekends versus weekdays without imposing discrete numerical distance limits.</w:t>
      </w:r>
    </w:p>
    <w:p w14:paraId="3EBCAD12" w14:textId="77777777" w:rsidR="00E445C6" w:rsidRDefault="00E445C6">
      <w:pPr>
        <w:rPr>
          <w:rFonts w:asciiTheme="majorHAnsi" w:eastAsiaTheme="majorEastAsia" w:hAnsiTheme="majorHAnsi" w:cstheme="majorBidi"/>
          <w:color w:val="0F4761" w:themeColor="accent1" w:themeShade="BF"/>
          <w:sz w:val="32"/>
          <w:szCs w:val="32"/>
        </w:rPr>
      </w:pPr>
      <w:bookmarkStart w:id="8" w:name="models-used"/>
      <w:bookmarkEnd w:id="7"/>
      <w:r>
        <w:br w:type="page"/>
      </w:r>
    </w:p>
    <w:p w14:paraId="3D87CC3B" w14:textId="45393540" w:rsidR="00E70013" w:rsidRDefault="00000000">
      <w:pPr>
        <w:pStyle w:val="Heading2"/>
      </w:pPr>
      <w:r>
        <w:lastRenderedPageBreak/>
        <w:t>6. Models Used</w:t>
      </w:r>
    </w:p>
    <w:p w14:paraId="1DB2C376" w14:textId="77777777" w:rsidR="00E70013" w:rsidRDefault="00000000">
      <w:pPr>
        <w:pStyle w:val="FirstParagraph"/>
      </w:pPr>
      <w:r>
        <w:t>Six isolated approaches were formulated spanning multiple sub-disciplines:</w:t>
      </w:r>
    </w:p>
    <w:p w14:paraId="6E01390A" w14:textId="77777777" w:rsidR="00E70013" w:rsidRDefault="00000000">
      <w:pPr>
        <w:pStyle w:val="Compact"/>
        <w:numPr>
          <w:ilvl w:val="0"/>
          <w:numId w:val="6"/>
        </w:numPr>
      </w:pPr>
      <w:r>
        <w:rPr>
          <w:b/>
          <w:bCs/>
        </w:rPr>
        <w:t>XGBoost (Extreme Gradient Boosting):</w:t>
      </w:r>
      <w:r>
        <w:t xml:space="preserve"> Serves as the aggressive regression map excelling in non-linear tabular interactions with deep L1/L2 regularization arrays.</w:t>
      </w:r>
    </w:p>
    <w:p w14:paraId="3FF63729" w14:textId="77777777" w:rsidR="00E70013" w:rsidRDefault="00000000">
      <w:pPr>
        <w:pStyle w:val="Compact"/>
        <w:numPr>
          <w:ilvl w:val="0"/>
          <w:numId w:val="6"/>
        </w:numPr>
      </w:pPr>
      <w:r>
        <w:rPr>
          <w:b/>
          <w:bCs/>
        </w:rPr>
        <w:t>Gated Recurrent Unit (GRU):</w:t>
      </w:r>
      <w:r>
        <w:t xml:space="preserve"> An RNN variant adept at navigating temporal momentum across 24h sequences avoiding vanishing gradient traps.</w:t>
      </w:r>
    </w:p>
    <w:p w14:paraId="63AEE38E" w14:textId="77777777" w:rsidR="00E70013" w:rsidRDefault="00000000">
      <w:pPr>
        <w:pStyle w:val="Compact"/>
        <w:numPr>
          <w:ilvl w:val="0"/>
          <w:numId w:val="6"/>
        </w:numPr>
      </w:pPr>
      <w:r>
        <w:rPr>
          <w:b/>
          <w:bCs/>
        </w:rPr>
        <w:t>Random Forest (RF):</w:t>
      </w:r>
      <w:r>
        <w:t xml:space="preserve"> Provides absolute stable floor anchoring via ensemble feature bagging.</w:t>
      </w:r>
    </w:p>
    <w:p w14:paraId="475C9940" w14:textId="77777777" w:rsidR="00E70013" w:rsidRDefault="00000000">
      <w:pPr>
        <w:pStyle w:val="Compact"/>
        <w:numPr>
          <w:ilvl w:val="0"/>
          <w:numId w:val="6"/>
        </w:numPr>
      </w:pPr>
      <w:r>
        <w:rPr>
          <w:b/>
          <w:bCs/>
        </w:rPr>
        <w:t>Baseline Architectures:</w:t>
      </w:r>
      <w:r>
        <w:t xml:space="preserve"> Support Vector Machine, Decision Tree, Logistic Regression were established explicitly to trace baseline computational minimums.</w:t>
      </w:r>
    </w:p>
    <w:p w14:paraId="466FFDD9" w14:textId="77777777" w:rsidR="00E70013" w:rsidRDefault="00000000">
      <w:pPr>
        <w:pStyle w:val="FirstParagraph"/>
      </w:pPr>
      <w:r>
        <w:t xml:space="preserve">An overarching </w:t>
      </w:r>
      <w:r>
        <w:rPr>
          <w:b/>
          <w:bCs/>
        </w:rPr>
        <w:t>Ensemble Strategy</w:t>
      </w:r>
      <w:r>
        <w:t xml:space="preserve"> algorithmically averages the float-weighted output curves from top pipelines conditionally upon historical model stability thresholds.</w:t>
      </w:r>
    </w:p>
    <w:p w14:paraId="4E87A7B2" w14:textId="77777777" w:rsidR="00E445C6" w:rsidRDefault="00E445C6">
      <w:pPr>
        <w:rPr>
          <w:rFonts w:asciiTheme="majorHAnsi" w:eastAsiaTheme="majorEastAsia" w:hAnsiTheme="majorHAnsi" w:cstheme="majorBidi"/>
          <w:color w:val="0F4761" w:themeColor="accent1" w:themeShade="BF"/>
          <w:sz w:val="32"/>
          <w:szCs w:val="32"/>
        </w:rPr>
      </w:pPr>
      <w:bookmarkStart w:id="9" w:name="model-training-testing"/>
      <w:bookmarkEnd w:id="8"/>
      <w:r>
        <w:br w:type="page"/>
      </w:r>
    </w:p>
    <w:p w14:paraId="516A4041" w14:textId="0DC4B605" w:rsidR="00E70013" w:rsidRDefault="00000000">
      <w:pPr>
        <w:pStyle w:val="Heading2"/>
      </w:pPr>
      <w:r>
        <w:lastRenderedPageBreak/>
        <w:t>7. Model Training &amp; Testing</w:t>
      </w:r>
    </w:p>
    <w:p w14:paraId="742FCFF5" w14:textId="77777777" w:rsidR="00E70013" w:rsidRDefault="00000000">
      <w:pPr>
        <w:pStyle w:val="FirstParagraph"/>
      </w:pPr>
      <w:r>
        <w:t>The overarching pipeline stringently enforced chronological continuity parameters:</w:t>
      </w:r>
    </w:p>
    <w:p w14:paraId="6949DBBE" w14:textId="77777777" w:rsidR="00E70013" w:rsidRDefault="00000000">
      <w:pPr>
        <w:numPr>
          <w:ilvl w:val="0"/>
          <w:numId w:val="7"/>
        </w:numPr>
      </w:pPr>
      <w:r>
        <w:rPr>
          <w:b/>
          <w:bCs/>
        </w:rPr>
        <w:t>Optimization Bounds:</w:t>
      </w:r>
      <w:r>
        <w:t xml:space="preserve"> We employed comprehensive parameter grid searches utilizing localized Bayesian proxies focusing directly on MAE and MSE objective optimization distributions.</w:t>
      </w:r>
    </w:p>
    <w:p w14:paraId="517FFE09" w14:textId="77777777" w:rsidR="00E70013" w:rsidRDefault="00000000">
      <w:pPr>
        <w:numPr>
          <w:ilvl w:val="0"/>
          <w:numId w:val="7"/>
        </w:numPr>
      </w:pPr>
      <w:r>
        <w:rPr>
          <w:b/>
          <w:bCs/>
        </w:rPr>
        <w:t>Temporal Padding (DL Tracking):</w:t>
      </w:r>
      <w:r>
        <w:t xml:space="preserve"> Deep Learning models dynamically utilize sliding-window sequences of </w:t>
      </w:r>
      <w:r>
        <w:rPr>
          <w:rStyle w:val="VerbatimChar"/>
        </w:rPr>
        <w:t>[batch_size, 48, 82]</w:t>
      </w:r>
      <w:r>
        <w:t xml:space="preserve"> to inject robust structural momentum dependencies.</w:t>
      </w:r>
    </w:p>
    <w:p w14:paraId="36417C55" w14:textId="77777777" w:rsidR="00E70013" w:rsidRDefault="00000000">
      <w:pPr>
        <w:numPr>
          <w:ilvl w:val="0"/>
          <w:numId w:val="7"/>
        </w:numPr>
      </w:pPr>
      <w:r>
        <w:rPr>
          <w:b/>
          <w:bCs/>
        </w:rPr>
        <w:t>Scoring Constraints:</w:t>
      </w:r>
      <w:r>
        <w:t xml:space="preserve"> Tracked and isolated fold validations mapped sequential checks applying early-stopping monitoring to preempt catastrophic over-granularity targeting repeating seasonal phenomena.</w:t>
      </w:r>
    </w:p>
    <w:p w14:paraId="286D8CF1" w14:textId="77777777" w:rsidR="00E445C6" w:rsidRDefault="00E445C6">
      <w:pPr>
        <w:rPr>
          <w:rFonts w:asciiTheme="majorHAnsi" w:eastAsiaTheme="majorEastAsia" w:hAnsiTheme="majorHAnsi" w:cstheme="majorBidi"/>
          <w:color w:val="0F4761" w:themeColor="accent1" w:themeShade="BF"/>
          <w:sz w:val="32"/>
          <w:szCs w:val="32"/>
        </w:rPr>
      </w:pPr>
      <w:bookmarkStart w:id="10" w:name="evaluation-metrics-results"/>
      <w:bookmarkEnd w:id="9"/>
      <w:r>
        <w:br w:type="page"/>
      </w:r>
    </w:p>
    <w:p w14:paraId="094B9349" w14:textId="7A519FD4" w:rsidR="00E70013" w:rsidRDefault="00000000">
      <w:pPr>
        <w:pStyle w:val="Heading2"/>
      </w:pPr>
      <w:r>
        <w:lastRenderedPageBreak/>
        <w:t>8. Evaluation Metrics &amp; Results</w:t>
      </w:r>
    </w:p>
    <w:p w14:paraId="335E1928" w14:textId="77777777" w:rsidR="00E70013" w:rsidRDefault="00000000">
      <w:pPr>
        <w:pStyle w:val="FirstParagraph"/>
      </w:pPr>
      <w:r>
        <w:t>Validations mapped spanning Jan 2025 – Dec 2025 captured 8,730 test constraints.</w:t>
      </w:r>
    </w:p>
    <w:p w14:paraId="3BF7F1DE" w14:textId="77777777" w:rsidR="00E70013" w:rsidRDefault="00000000">
      <w:pPr>
        <w:pStyle w:val="Heading3"/>
      </w:pPr>
      <w:bookmarkStart w:id="11" w:name="consumption-predictions-overview"/>
      <w:r>
        <w:t>8.1 Consumption Predictions Overview</w:t>
      </w:r>
    </w:p>
    <w:tbl>
      <w:tblPr>
        <w:tblStyle w:val="Table"/>
        <w:tblW w:w="0" w:type="auto"/>
        <w:tblLook w:val="0020" w:firstRow="1" w:lastRow="0" w:firstColumn="0" w:lastColumn="0" w:noHBand="0" w:noVBand="0"/>
      </w:tblPr>
      <w:tblGrid>
        <w:gridCol w:w="2337"/>
        <w:gridCol w:w="1123"/>
        <w:gridCol w:w="868"/>
        <w:gridCol w:w="1093"/>
      </w:tblGrid>
      <w:tr w:rsidR="00E70013" w14:paraId="61BE2857" w14:textId="77777777" w:rsidTr="00E70013">
        <w:trPr>
          <w:cnfStyle w:val="100000000000" w:firstRow="1" w:lastRow="0" w:firstColumn="0" w:lastColumn="0" w:oddVBand="0" w:evenVBand="0" w:oddHBand="0" w:evenHBand="0" w:firstRowFirstColumn="0" w:firstRowLastColumn="0" w:lastRowFirstColumn="0" w:lastRowLastColumn="0"/>
          <w:tblHeader/>
        </w:trPr>
        <w:tc>
          <w:tcPr>
            <w:tcW w:w="0" w:type="auto"/>
          </w:tcPr>
          <w:p w14:paraId="32069F6D" w14:textId="77777777" w:rsidR="00E70013" w:rsidRDefault="00000000">
            <w:pPr>
              <w:pStyle w:val="Compact"/>
            </w:pPr>
            <w:r>
              <w:t>Model</w:t>
            </w:r>
          </w:p>
        </w:tc>
        <w:tc>
          <w:tcPr>
            <w:tcW w:w="0" w:type="auto"/>
          </w:tcPr>
          <w:p w14:paraId="431EE0E7" w14:textId="77777777" w:rsidR="00E70013" w:rsidRDefault="00000000">
            <w:pPr>
              <w:pStyle w:val="Compact"/>
            </w:pPr>
            <w:r>
              <w:t>RMSE</w:t>
            </w:r>
          </w:p>
        </w:tc>
        <w:tc>
          <w:tcPr>
            <w:tcW w:w="0" w:type="auto"/>
          </w:tcPr>
          <w:p w14:paraId="12A6E2A0" w14:textId="77777777" w:rsidR="00E70013" w:rsidRDefault="00000000">
            <w:pPr>
              <w:pStyle w:val="Compact"/>
            </w:pPr>
            <w:r>
              <w:t>MAPE</w:t>
            </w:r>
          </w:p>
        </w:tc>
        <w:tc>
          <w:tcPr>
            <w:tcW w:w="0" w:type="auto"/>
          </w:tcPr>
          <w:p w14:paraId="2750CC66" w14:textId="77777777" w:rsidR="00E70013" w:rsidRDefault="00000000">
            <w:pPr>
              <w:pStyle w:val="Compact"/>
            </w:pPr>
            <w:r>
              <w:t>R² Score</w:t>
            </w:r>
          </w:p>
        </w:tc>
      </w:tr>
      <w:tr w:rsidR="00E70013" w14:paraId="5515B02B" w14:textId="77777777">
        <w:tc>
          <w:tcPr>
            <w:tcW w:w="0" w:type="auto"/>
          </w:tcPr>
          <w:p w14:paraId="571E6FCA" w14:textId="77777777" w:rsidR="00E70013" w:rsidRDefault="00000000">
            <w:pPr>
              <w:pStyle w:val="Compact"/>
            </w:pPr>
            <w:r>
              <w:rPr>
                <w:b/>
                <w:bCs/>
              </w:rPr>
              <w:t>XGBoost</w:t>
            </w:r>
          </w:p>
        </w:tc>
        <w:tc>
          <w:tcPr>
            <w:tcW w:w="0" w:type="auto"/>
          </w:tcPr>
          <w:p w14:paraId="45B37E96" w14:textId="77777777" w:rsidR="00E70013" w:rsidRDefault="00000000">
            <w:pPr>
              <w:pStyle w:val="Compact"/>
            </w:pPr>
            <w:r>
              <w:t>1,018.18</w:t>
            </w:r>
          </w:p>
        </w:tc>
        <w:tc>
          <w:tcPr>
            <w:tcW w:w="0" w:type="auto"/>
          </w:tcPr>
          <w:p w14:paraId="120C110B" w14:textId="77777777" w:rsidR="00E70013" w:rsidRDefault="00000000">
            <w:pPr>
              <w:pStyle w:val="Compact"/>
            </w:pPr>
            <w:r>
              <w:t>2.51%</w:t>
            </w:r>
          </w:p>
        </w:tc>
        <w:tc>
          <w:tcPr>
            <w:tcW w:w="0" w:type="auto"/>
          </w:tcPr>
          <w:p w14:paraId="73F69096" w14:textId="77777777" w:rsidR="00E70013" w:rsidRDefault="00000000">
            <w:pPr>
              <w:pStyle w:val="Compact"/>
            </w:pPr>
            <w:r>
              <w:t>0.9469</w:t>
            </w:r>
          </w:p>
        </w:tc>
      </w:tr>
      <w:tr w:rsidR="00E70013" w14:paraId="039A8628" w14:textId="77777777">
        <w:tc>
          <w:tcPr>
            <w:tcW w:w="0" w:type="auto"/>
          </w:tcPr>
          <w:p w14:paraId="3C144E31" w14:textId="77777777" w:rsidR="00E70013" w:rsidRDefault="00000000">
            <w:pPr>
              <w:pStyle w:val="Compact"/>
            </w:pPr>
            <w:r>
              <w:rPr>
                <w:b/>
                <w:bCs/>
              </w:rPr>
              <w:t>GRU</w:t>
            </w:r>
          </w:p>
        </w:tc>
        <w:tc>
          <w:tcPr>
            <w:tcW w:w="0" w:type="auto"/>
          </w:tcPr>
          <w:p w14:paraId="72088F34" w14:textId="77777777" w:rsidR="00E70013" w:rsidRDefault="00000000">
            <w:pPr>
              <w:pStyle w:val="Compact"/>
            </w:pPr>
            <w:r>
              <w:t>1,216.94</w:t>
            </w:r>
          </w:p>
        </w:tc>
        <w:tc>
          <w:tcPr>
            <w:tcW w:w="0" w:type="auto"/>
          </w:tcPr>
          <w:p w14:paraId="4D6AC330" w14:textId="77777777" w:rsidR="00E70013" w:rsidRDefault="00000000">
            <w:pPr>
              <w:pStyle w:val="Compact"/>
            </w:pPr>
            <w:r>
              <w:t>3.14%</w:t>
            </w:r>
          </w:p>
        </w:tc>
        <w:tc>
          <w:tcPr>
            <w:tcW w:w="0" w:type="auto"/>
          </w:tcPr>
          <w:p w14:paraId="13CEE7AD" w14:textId="77777777" w:rsidR="00E70013" w:rsidRDefault="00000000">
            <w:pPr>
              <w:pStyle w:val="Compact"/>
            </w:pPr>
            <w:r>
              <w:t>0.9240</w:t>
            </w:r>
          </w:p>
        </w:tc>
      </w:tr>
      <w:tr w:rsidR="00E70013" w14:paraId="7399DC72" w14:textId="77777777">
        <w:tc>
          <w:tcPr>
            <w:tcW w:w="0" w:type="auto"/>
          </w:tcPr>
          <w:p w14:paraId="5A1969BF" w14:textId="77777777" w:rsidR="00E70013" w:rsidRDefault="00000000">
            <w:pPr>
              <w:pStyle w:val="Compact"/>
            </w:pPr>
            <w:r>
              <w:rPr>
                <w:b/>
                <w:bCs/>
              </w:rPr>
              <w:t>Random Forest</w:t>
            </w:r>
          </w:p>
        </w:tc>
        <w:tc>
          <w:tcPr>
            <w:tcW w:w="0" w:type="auto"/>
          </w:tcPr>
          <w:p w14:paraId="1BFAAD97" w14:textId="77777777" w:rsidR="00E70013" w:rsidRDefault="00000000">
            <w:pPr>
              <w:pStyle w:val="Compact"/>
            </w:pPr>
            <w:r>
              <w:t>1,232.91</w:t>
            </w:r>
          </w:p>
        </w:tc>
        <w:tc>
          <w:tcPr>
            <w:tcW w:w="0" w:type="auto"/>
          </w:tcPr>
          <w:p w14:paraId="7AE22E3A" w14:textId="77777777" w:rsidR="00E70013" w:rsidRDefault="00000000">
            <w:pPr>
              <w:pStyle w:val="Compact"/>
            </w:pPr>
            <w:r>
              <w:t>3.16%</w:t>
            </w:r>
          </w:p>
        </w:tc>
        <w:tc>
          <w:tcPr>
            <w:tcW w:w="0" w:type="auto"/>
          </w:tcPr>
          <w:p w14:paraId="52146600" w14:textId="77777777" w:rsidR="00E70013" w:rsidRDefault="00000000">
            <w:pPr>
              <w:pStyle w:val="Compact"/>
            </w:pPr>
            <w:r>
              <w:t>0.9221</w:t>
            </w:r>
          </w:p>
        </w:tc>
      </w:tr>
      <w:tr w:rsidR="00E70013" w14:paraId="0C65AB70" w14:textId="77777777">
        <w:tc>
          <w:tcPr>
            <w:tcW w:w="0" w:type="auto"/>
          </w:tcPr>
          <w:p w14:paraId="70AB086F" w14:textId="77777777" w:rsidR="00E70013" w:rsidRDefault="00000000">
            <w:pPr>
              <w:pStyle w:val="Compact"/>
            </w:pPr>
            <w:r>
              <w:rPr>
                <w:b/>
                <w:bCs/>
              </w:rPr>
              <w:t>Logistic Regression</w:t>
            </w:r>
          </w:p>
        </w:tc>
        <w:tc>
          <w:tcPr>
            <w:tcW w:w="0" w:type="auto"/>
          </w:tcPr>
          <w:p w14:paraId="6C6F7073" w14:textId="77777777" w:rsidR="00E70013" w:rsidRDefault="00000000">
            <w:pPr>
              <w:pStyle w:val="Compact"/>
            </w:pPr>
            <w:r>
              <w:t>1,866.29</w:t>
            </w:r>
          </w:p>
        </w:tc>
        <w:tc>
          <w:tcPr>
            <w:tcW w:w="0" w:type="auto"/>
          </w:tcPr>
          <w:p w14:paraId="0A39DBCC" w14:textId="77777777" w:rsidR="00E70013" w:rsidRDefault="00000000">
            <w:pPr>
              <w:pStyle w:val="Compact"/>
            </w:pPr>
            <w:r>
              <w:t>5.35%</w:t>
            </w:r>
          </w:p>
        </w:tc>
        <w:tc>
          <w:tcPr>
            <w:tcW w:w="0" w:type="auto"/>
          </w:tcPr>
          <w:p w14:paraId="68B1E9DD" w14:textId="77777777" w:rsidR="00E70013" w:rsidRDefault="00000000">
            <w:pPr>
              <w:pStyle w:val="Compact"/>
            </w:pPr>
            <w:r>
              <w:t>0.8214</w:t>
            </w:r>
          </w:p>
        </w:tc>
      </w:tr>
    </w:tbl>
    <w:p w14:paraId="336EAD99" w14:textId="77777777" w:rsidR="00E70013" w:rsidRDefault="00000000">
      <w:pPr>
        <w:pStyle w:val="BodyText"/>
      </w:pPr>
      <w:r>
        <w:t>XGBoost achieves 97% overall accuracy accounting for a negligible 2.5% variation from national demand grids — an exceptionally robust performance curve.</w:t>
      </w:r>
    </w:p>
    <w:p w14:paraId="0A29A2A7" w14:textId="196A9501" w:rsidR="00E445C6" w:rsidRDefault="00E445C6">
      <w:pPr>
        <w:rPr>
          <w:rFonts w:eastAsiaTheme="majorEastAsia" w:cstheme="majorBidi"/>
          <w:color w:val="0F4761" w:themeColor="accent1" w:themeShade="BF"/>
          <w:sz w:val="28"/>
          <w:szCs w:val="28"/>
        </w:rPr>
      </w:pPr>
      <w:bookmarkStart w:id="12" w:name="price-predictions-overview"/>
      <w:bookmarkEnd w:id="11"/>
    </w:p>
    <w:p w14:paraId="38068C1E" w14:textId="6AEC669E" w:rsidR="00E70013" w:rsidRDefault="00000000">
      <w:pPr>
        <w:pStyle w:val="Heading3"/>
      </w:pPr>
      <w:r>
        <w:t>8.2 Price Predictions Overview</w:t>
      </w:r>
    </w:p>
    <w:tbl>
      <w:tblPr>
        <w:tblStyle w:val="Table"/>
        <w:tblW w:w="0" w:type="auto"/>
        <w:tblLook w:val="0020" w:firstRow="1" w:lastRow="0" w:firstColumn="0" w:lastColumn="0" w:noHBand="0" w:noVBand="0"/>
      </w:tblPr>
      <w:tblGrid>
        <w:gridCol w:w="1878"/>
        <w:gridCol w:w="821"/>
        <w:gridCol w:w="2647"/>
        <w:gridCol w:w="1093"/>
      </w:tblGrid>
      <w:tr w:rsidR="00E70013" w14:paraId="4701C920" w14:textId="77777777" w:rsidTr="00E70013">
        <w:trPr>
          <w:cnfStyle w:val="100000000000" w:firstRow="1" w:lastRow="0" w:firstColumn="0" w:lastColumn="0" w:oddVBand="0" w:evenVBand="0" w:oddHBand="0" w:evenHBand="0" w:firstRowFirstColumn="0" w:firstRowLastColumn="0" w:lastRowFirstColumn="0" w:lastRowLastColumn="0"/>
          <w:tblHeader/>
        </w:trPr>
        <w:tc>
          <w:tcPr>
            <w:tcW w:w="0" w:type="auto"/>
          </w:tcPr>
          <w:p w14:paraId="6E3A23F3" w14:textId="77777777" w:rsidR="00E70013" w:rsidRDefault="00000000">
            <w:pPr>
              <w:pStyle w:val="Compact"/>
            </w:pPr>
            <w:r>
              <w:t>Model</w:t>
            </w:r>
          </w:p>
        </w:tc>
        <w:tc>
          <w:tcPr>
            <w:tcW w:w="0" w:type="auto"/>
          </w:tcPr>
          <w:p w14:paraId="4782254D" w14:textId="77777777" w:rsidR="00E70013" w:rsidRDefault="00000000">
            <w:pPr>
              <w:pStyle w:val="Compact"/>
            </w:pPr>
            <w:r>
              <w:t>RMSE</w:t>
            </w:r>
          </w:p>
        </w:tc>
        <w:tc>
          <w:tcPr>
            <w:tcW w:w="0" w:type="auto"/>
          </w:tcPr>
          <w:p w14:paraId="66DDD6E8" w14:textId="77777777" w:rsidR="00E70013" w:rsidRDefault="00000000">
            <w:pPr>
              <w:pStyle w:val="Compact"/>
            </w:pPr>
            <w:r>
              <w:t>Effective Absolute Error</w:t>
            </w:r>
          </w:p>
        </w:tc>
        <w:tc>
          <w:tcPr>
            <w:tcW w:w="0" w:type="auto"/>
          </w:tcPr>
          <w:p w14:paraId="678A7D9C" w14:textId="77777777" w:rsidR="00E70013" w:rsidRDefault="00000000">
            <w:pPr>
              <w:pStyle w:val="Compact"/>
            </w:pPr>
            <w:r>
              <w:t>R² Score</w:t>
            </w:r>
          </w:p>
        </w:tc>
      </w:tr>
      <w:tr w:rsidR="00E70013" w14:paraId="2C85BC51" w14:textId="77777777">
        <w:tc>
          <w:tcPr>
            <w:tcW w:w="0" w:type="auto"/>
          </w:tcPr>
          <w:p w14:paraId="2A8DA957" w14:textId="77777777" w:rsidR="00E70013" w:rsidRDefault="00000000">
            <w:pPr>
              <w:pStyle w:val="Compact"/>
            </w:pPr>
            <w:r>
              <w:rPr>
                <w:b/>
                <w:bCs/>
              </w:rPr>
              <w:t>XGBoost</w:t>
            </w:r>
          </w:p>
        </w:tc>
        <w:tc>
          <w:tcPr>
            <w:tcW w:w="0" w:type="auto"/>
          </w:tcPr>
          <w:p w14:paraId="17A64AD8" w14:textId="77777777" w:rsidR="00E70013" w:rsidRDefault="00000000">
            <w:pPr>
              <w:pStyle w:val="Compact"/>
            </w:pPr>
            <w:r>
              <w:t>22.90</w:t>
            </w:r>
          </w:p>
        </w:tc>
        <w:tc>
          <w:tcPr>
            <w:tcW w:w="0" w:type="auto"/>
          </w:tcPr>
          <w:p w14:paraId="61920AF2" w14:textId="77777777" w:rsidR="00E70013" w:rsidRDefault="00000000">
            <w:pPr>
              <w:pStyle w:val="Compact"/>
            </w:pPr>
            <w:r>
              <w:t>Excellent</w:t>
            </w:r>
          </w:p>
        </w:tc>
        <w:tc>
          <w:tcPr>
            <w:tcW w:w="0" w:type="auto"/>
          </w:tcPr>
          <w:p w14:paraId="3ABAD4E2" w14:textId="77777777" w:rsidR="00E70013" w:rsidRDefault="00000000">
            <w:pPr>
              <w:pStyle w:val="Compact"/>
            </w:pPr>
            <w:r>
              <w:t>0.7700</w:t>
            </w:r>
          </w:p>
        </w:tc>
      </w:tr>
      <w:tr w:rsidR="00E70013" w14:paraId="23FD3DA7" w14:textId="77777777">
        <w:tc>
          <w:tcPr>
            <w:tcW w:w="0" w:type="auto"/>
          </w:tcPr>
          <w:p w14:paraId="21963D94" w14:textId="77777777" w:rsidR="00E70013" w:rsidRDefault="00000000">
            <w:pPr>
              <w:pStyle w:val="Compact"/>
            </w:pPr>
            <w:r>
              <w:rPr>
                <w:b/>
                <w:bCs/>
              </w:rPr>
              <w:t>GRU</w:t>
            </w:r>
          </w:p>
        </w:tc>
        <w:tc>
          <w:tcPr>
            <w:tcW w:w="0" w:type="auto"/>
          </w:tcPr>
          <w:p w14:paraId="1BC51B8D" w14:textId="77777777" w:rsidR="00E70013" w:rsidRDefault="00000000">
            <w:pPr>
              <w:pStyle w:val="Compact"/>
            </w:pPr>
            <w:r>
              <w:t>23.64</w:t>
            </w:r>
          </w:p>
        </w:tc>
        <w:tc>
          <w:tcPr>
            <w:tcW w:w="0" w:type="auto"/>
          </w:tcPr>
          <w:p w14:paraId="73BEC051" w14:textId="77777777" w:rsidR="00E70013" w:rsidRDefault="00000000">
            <w:pPr>
              <w:pStyle w:val="Compact"/>
            </w:pPr>
            <w:r>
              <w:t>Excellent</w:t>
            </w:r>
          </w:p>
        </w:tc>
        <w:tc>
          <w:tcPr>
            <w:tcW w:w="0" w:type="auto"/>
          </w:tcPr>
          <w:p w14:paraId="77E4EA4B" w14:textId="77777777" w:rsidR="00E70013" w:rsidRDefault="00000000">
            <w:pPr>
              <w:pStyle w:val="Compact"/>
            </w:pPr>
            <w:r>
              <w:t>0.7537</w:t>
            </w:r>
          </w:p>
        </w:tc>
      </w:tr>
      <w:tr w:rsidR="00E70013" w14:paraId="399CB816" w14:textId="77777777">
        <w:tc>
          <w:tcPr>
            <w:tcW w:w="0" w:type="auto"/>
          </w:tcPr>
          <w:p w14:paraId="4532F3A1" w14:textId="77777777" w:rsidR="00E70013" w:rsidRDefault="00000000">
            <w:pPr>
              <w:pStyle w:val="Compact"/>
            </w:pPr>
            <w:r>
              <w:rPr>
                <w:b/>
                <w:bCs/>
              </w:rPr>
              <w:t>Random Forest</w:t>
            </w:r>
          </w:p>
        </w:tc>
        <w:tc>
          <w:tcPr>
            <w:tcW w:w="0" w:type="auto"/>
          </w:tcPr>
          <w:p w14:paraId="4EB937A9" w14:textId="77777777" w:rsidR="00E70013" w:rsidRDefault="00000000">
            <w:pPr>
              <w:pStyle w:val="Compact"/>
            </w:pPr>
            <w:r>
              <w:t>26.32</w:t>
            </w:r>
          </w:p>
        </w:tc>
        <w:tc>
          <w:tcPr>
            <w:tcW w:w="0" w:type="auto"/>
          </w:tcPr>
          <w:p w14:paraId="329935DF" w14:textId="77777777" w:rsidR="00E70013" w:rsidRDefault="00000000">
            <w:pPr>
              <w:pStyle w:val="Compact"/>
            </w:pPr>
            <w:r>
              <w:t>Moderate</w:t>
            </w:r>
          </w:p>
        </w:tc>
        <w:tc>
          <w:tcPr>
            <w:tcW w:w="0" w:type="auto"/>
          </w:tcPr>
          <w:p w14:paraId="3AB47FEF" w14:textId="77777777" w:rsidR="00E70013" w:rsidRDefault="00000000">
            <w:pPr>
              <w:pStyle w:val="Compact"/>
            </w:pPr>
            <w:r>
              <w:t>0.6963</w:t>
            </w:r>
          </w:p>
        </w:tc>
      </w:tr>
    </w:tbl>
    <w:p w14:paraId="3C8F924D" w14:textId="335A9544" w:rsidR="00E445C6" w:rsidRDefault="00000000" w:rsidP="00E445C6">
      <w:pPr>
        <w:pStyle w:val="BodyText"/>
      </w:pPr>
      <w:r>
        <w:t xml:space="preserve">While percentage-based MAPE metrics skew exponentially against realistic “Zero-Euro” grid clearance hours, absolute RMSE mapping highlights an average deviation of just ~±22.90 €/MWh, maintaining a highly predictive 77% R² distribution for </w:t>
      </w:r>
      <w:proofErr w:type="spellStart"/>
      <w:r>
        <w:t>XGBoost</w:t>
      </w:r>
      <w:proofErr w:type="spellEnd"/>
      <w:r>
        <w:t>.</w:t>
      </w:r>
      <w:bookmarkStart w:id="13" w:name="X43af6409670fdc355fef6d5123f5595c298f9fe"/>
      <w:bookmarkEnd w:id="12"/>
    </w:p>
    <w:p w14:paraId="3756709F" w14:textId="77777777" w:rsidR="00E445C6" w:rsidRPr="00E445C6" w:rsidRDefault="00E445C6" w:rsidP="00E445C6">
      <w:pPr>
        <w:pStyle w:val="BodyText"/>
      </w:pPr>
    </w:p>
    <w:p w14:paraId="0A6768D8" w14:textId="7305B221" w:rsidR="00E70013" w:rsidRDefault="00000000">
      <w:pPr>
        <w:pStyle w:val="Heading3"/>
      </w:pPr>
      <w:r>
        <w:t>8.3 Visual Benchmarks (Validation Phase - 2025)</w:t>
      </w:r>
    </w:p>
    <w:p w14:paraId="3C2DD586" w14:textId="77777777" w:rsidR="00E70013" w:rsidRDefault="00000000">
      <w:pPr>
        <w:pStyle w:val="FirstParagraph"/>
      </w:pPr>
      <w:r>
        <w:rPr>
          <w:b/>
          <w:bCs/>
        </w:rPr>
        <w:t>Metrics Comparison (Validation)</w:t>
      </w:r>
      <w:r>
        <w:t xml:space="preserve"> This graph compares RMSE, MAE, MAPE, and R2 across all evaluated single architectures. It highlights XGBoost and GRU as leading structural </w:t>
      </w:r>
      <w:r>
        <w:lastRenderedPageBreak/>
        <w:t xml:space="preserve">models, with XGBoost achieving an exceptional 94.7% R2 on Consumption predictions. </w:t>
      </w:r>
      <w:r>
        <w:rPr>
          <w:noProof/>
        </w:rPr>
        <w:drawing>
          <wp:inline distT="0" distB="0" distL="0" distR="0" wp14:anchorId="4E457467" wp14:editId="598F7366">
            <wp:extent cx="5334000" cy="329433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Users/merch/Documents/uni/Sem6/ML/version/Project/validation/01_metrics_comparison.png"/>
                    <pic:cNvPicPr>
                      <a:picLocks noChangeAspect="1" noChangeArrowheads="1"/>
                    </pic:cNvPicPr>
                  </pic:nvPicPr>
                  <pic:blipFill>
                    <a:blip r:embed="rId5"/>
                    <a:stretch>
                      <a:fillRect/>
                    </a:stretch>
                  </pic:blipFill>
                  <pic:spPr bwMode="auto">
                    <a:xfrm>
                      <a:off x="0" y="0"/>
                      <a:ext cx="5334000" cy="3294332"/>
                    </a:xfrm>
                    <a:prstGeom prst="rect">
                      <a:avLst/>
                    </a:prstGeom>
                    <a:noFill/>
                    <a:ln w="9525">
                      <a:noFill/>
                      <a:headEnd/>
                      <a:tailEnd/>
                    </a:ln>
                  </pic:spPr>
                </pic:pic>
              </a:graphicData>
            </a:graphic>
          </wp:inline>
        </w:drawing>
      </w:r>
    </w:p>
    <w:p w14:paraId="45655237" w14:textId="77777777" w:rsidR="00E70013" w:rsidRDefault="00000000">
      <w:pPr>
        <w:pStyle w:val="BodyText"/>
      </w:pPr>
      <w:r>
        <w:rPr>
          <w:b/>
          <w:bCs/>
        </w:rPr>
        <w:t>Per-Hour Error Patterns (Validation)</w:t>
      </w:r>
      <w:r>
        <w:t xml:space="preserve"> This chart displays the average Mean Absolute Percentage Error (MAPE) broken down by the 24 hours of the day. Peak hours (14:00-16:00) demonstrate high predictability (~2.2% error), while morning ramp-ups (05:00-08:00) exhibit higher volatility. </w:t>
      </w:r>
      <w:r>
        <w:rPr>
          <w:noProof/>
        </w:rPr>
        <w:drawing>
          <wp:inline distT="0" distB="0" distL="0" distR="0" wp14:anchorId="6F4B040B" wp14:editId="2BE6FABB">
            <wp:extent cx="5334000" cy="198094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merch/Documents/uni/Sem6/ML/version/Project/validation/02_hourly_mape.png"/>
                    <pic:cNvPicPr>
                      <a:picLocks noChangeAspect="1" noChangeArrowheads="1"/>
                    </pic:cNvPicPr>
                  </pic:nvPicPr>
                  <pic:blipFill>
                    <a:blip r:embed="rId6"/>
                    <a:stretch>
                      <a:fillRect/>
                    </a:stretch>
                  </pic:blipFill>
                  <pic:spPr bwMode="auto">
                    <a:xfrm>
                      <a:off x="0" y="0"/>
                      <a:ext cx="5334000" cy="1980944"/>
                    </a:xfrm>
                    <a:prstGeom prst="rect">
                      <a:avLst/>
                    </a:prstGeom>
                    <a:noFill/>
                    <a:ln w="9525">
                      <a:noFill/>
                      <a:headEnd/>
                      <a:tailEnd/>
                    </a:ln>
                  </pic:spPr>
                </pic:pic>
              </a:graphicData>
            </a:graphic>
          </wp:inline>
        </w:drawing>
      </w:r>
    </w:p>
    <w:p w14:paraId="5B0FEE55" w14:textId="77777777" w:rsidR="00E70013" w:rsidRDefault="00000000">
      <w:pPr>
        <w:pStyle w:val="BodyText"/>
      </w:pPr>
      <w:r>
        <w:rPr>
          <w:b/>
          <w:bCs/>
        </w:rPr>
        <w:t>Residuals Distribution</w:t>
      </w:r>
      <w:r>
        <w:t xml:space="preserve"> Error histograms and Q-Q plots visualizing prediction errors. Normalizing residual distribution is key to assuring no structural biases exist in the </w:t>
      </w:r>
      <w:r>
        <w:lastRenderedPageBreak/>
        <w:t xml:space="preserve">forecasting algorithm. </w:t>
      </w:r>
      <w:r>
        <w:rPr>
          <w:noProof/>
        </w:rPr>
        <w:drawing>
          <wp:inline distT="0" distB="0" distL="0" distR="0" wp14:anchorId="572D9E97" wp14:editId="0C29EBB6">
            <wp:extent cx="5334000" cy="377195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Users/merch/Documents/uni/Sem6/ML/version/Project/validation/03_residuals_distribution.png"/>
                    <pic:cNvPicPr>
                      <a:picLocks noChangeAspect="1" noChangeArrowheads="1"/>
                    </pic:cNvPicPr>
                  </pic:nvPicPr>
                  <pic:blipFill>
                    <a:blip r:embed="rId7"/>
                    <a:stretch>
                      <a:fillRect/>
                    </a:stretch>
                  </pic:blipFill>
                  <pic:spPr bwMode="auto">
                    <a:xfrm>
                      <a:off x="0" y="0"/>
                      <a:ext cx="5334000" cy="3771954"/>
                    </a:xfrm>
                    <a:prstGeom prst="rect">
                      <a:avLst/>
                    </a:prstGeom>
                    <a:noFill/>
                    <a:ln w="9525">
                      <a:noFill/>
                      <a:headEnd/>
                      <a:tailEnd/>
                    </a:ln>
                  </pic:spPr>
                </pic:pic>
              </a:graphicData>
            </a:graphic>
          </wp:inline>
        </w:drawing>
      </w:r>
    </w:p>
    <w:p w14:paraId="0D37115E" w14:textId="77777777" w:rsidR="00E70013" w:rsidRDefault="00000000">
      <w:pPr>
        <w:pStyle w:val="BodyText"/>
      </w:pPr>
      <w:r>
        <w:rPr>
          <w:b/>
          <w:bCs/>
        </w:rPr>
        <w:t>Binned Accuracy Heatmap (Validation)</w:t>
      </w:r>
      <w:r>
        <w:t xml:space="preserve"> Treats the regression output as classification by grouping predictions into Low, Medium, and High bounds. This heatmap shows the model excels (up to 90.82% accuracy) at securely identifying medium-range consumption. </w:t>
      </w:r>
      <w:r>
        <w:rPr>
          <w:noProof/>
        </w:rPr>
        <w:drawing>
          <wp:inline distT="0" distB="0" distL="0" distR="0" wp14:anchorId="3F446B53" wp14:editId="3ED6308F">
            <wp:extent cx="5334000" cy="304468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Users/merch/Documents/uni/Sem6/ML/version/Project/validation/04_binned_accuracy_heatmap.png"/>
                    <pic:cNvPicPr>
                      <a:picLocks noChangeAspect="1" noChangeArrowheads="1"/>
                    </pic:cNvPicPr>
                  </pic:nvPicPr>
                  <pic:blipFill>
                    <a:blip r:embed="rId8"/>
                    <a:stretch>
                      <a:fillRect/>
                    </a:stretch>
                  </pic:blipFill>
                  <pic:spPr bwMode="auto">
                    <a:xfrm>
                      <a:off x="0" y="0"/>
                      <a:ext cx="5334000" cy="3044685"/>
                    </a:xfrm>
                    <a:prstGeom prst="rect">
                      <a:avLst/>
                    </a:prstGeom>
                    <a:noFill/>
                    <a:ln w="9525">
                      <a:noFill/>
                      <a:headEnd/>
                      <a:tailEnd/>
                    </a:ln>
                  </pic:spPr>
                </pic:pic>
              </a:graphicData>
            </a:graphic>
          </wp:inline>
        </w:drawing>
      </w:r>
    </w:p>
    <w:p w14:paraId="14A1F880" w14:textId="77777777" w:rsidR="00E70013" w:rsidRDefault="00000000">
      <w:pPr>
        <w:pStyle w:val="BodyText"/>
      </w:pPr>
      <w:r>
        <w:rPr>
          <w:b/>
          <w:bCs/>
        </w:rPr>
        <w:t>Time Series Overlay (Validation)</w:t>
      </w:r>
      <w:r>
        <w:t xml:space="preserve"> Direct sequence comparison charting predicted matrices versus real ENTSO-E actuals. Highlights the ability to map weekend dips and </w:t>
      </w:r>
      <w:r>
        <w:lastRenderedPageBreak/>
        <w:t xml:space="preserve">seasonal consumption drops accurately. </w:t>
      </w:r>
      <w:r>
        <w:rPr>
          <w:noProof/>
        </w:rPr>
        <w:drawing>
          <wp:inline distT="0" distB="0" distL="0" distR="0" wp14:anchorId="3A11BCE2" wp14:editId="55880942">
            <wp:extent cx="5334000" cy="198094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Users/merch/Documents/uni/Sem6/ML/version/Project/validation/05_predicted_vs_actual.png"/>
                    <pic:cNvPicPr>
                      <a:picLocks noChangeAspect="1" noChangeArrowheads="1"/>
                    </pic:cNvPicPr>
                  </pic:nvPicPr>
                  <pic:blipFill>
                    <a:blip r:embed="rId9"/>
                    <a:stretch>
                      <a:fillRect/>
                    </a:stretch>
                  </pic:blipFill>
                  <pic:spPr bwMode="auto">
                    <a:xfrm>
                      <a:off x="0" y="0"/>
                      <a:ext cx="5334000" cy="1980944"/>
                    </a:xfrm>
                    <a:prstGeom prst="rect">
                      <a:avLst/>
                    </a:prstGeom>
                    <a:noFill/>
                    <a:ln w="9525">
                      <a:noFill/>
                      <a:headEnd/>
                      <a:tailEnd/>
                    </a:ln>
                  </pic:spPr>
                </pic:pic>
              </a:graphicData>
            </a:graphic>
          </wp:inline>
        </w:drawing>
      </w:r>
    </w:p>
    <w:p w14:paraId="24C70691" w14:textId="77777777" w:rsidR="00E70013" w:rsidRDefault="00000000">
      <w:pPr>
        <w:pStyle w:val="Heading3"/>
      </w:pPr>
      <w:bookmarkStart w:id="14" w:name="visual-benchmarks-testing-phase---2026"/>
      <w:bookmarkEnd w:id="13"/>
      <w:r>
        <w:t>8.4 Visual Benchmarks (Testing Phase - 2026)</w:t>
      </w:r>
    </w:p>
    <w:p w14:paraId="0253A7C5" w14:textId="77777777" w:rsidR="00E70013" w:rsidRDefault="00000000">
      <w:pPr>
        <w:pStyle w:val="FirstParagraph"/>
      </w:pPr>
      <w:r>
        <w:rPr>
          <w:b/>
          <w:bCs/>
        </w:rPr>
        <w:t>Metrics Comparison (Test Phase)</w:t>
      </w:r>
      <w:r>
        <w:t xml:space="preserve"> Comparative bar chart confirming the Ensemble’s superiority over standalone models natively on testing data. The Ensemble achieves the lowest RMSE (1726.51 MW for consumption, 24.34 EUR/MWh for price). </w:t>
      </w:r>
      <w:r>
        <w:rPr>
          <w:noProof/>
        </w:rPr>
        <w:drawing>
          <wp:inline distT="0" distB="0" distL="0" distR="0" wp14:anchorId="5ED81D0A" wp14:editId="23DEF056">
            <wp:extent cx="5334000" cy="329433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Users/merch/Documents/uni/Sem6/ML/version/Project/test_results/test_01_metrics_comparison.png"/>
                    <pic:cNvPicPr>
                      <a:picLocks noChangeAspect="1" noChangeArrowheads="1"/>
                    </pic:cNvPicPr>
                  </pic:nvPicPr>
                  <pic:blipFill>
                    <a:blip r:embed="rId10"/>
                    <a:stretch>
                      <a:fillRect/>
                    </a:stretch>
                  </pic:blipFill>
                  <pic:spPr bwMode="auto">
                    <a:xfrm>
                      <a:off x="0" y="0"/>
                      <a:ext cx="5334000" cy="3294332"/>
                    </a:xfrm>
                    <a:prstGeom prst="rect">
                      <a:avLst/>
                    </a:prstGeom>
                    <a:noFill/>
                    <a:ln w="9525">
                      <a:noFill/>
                      <a:headEnd/>
                      <a:tailEnd/>
                    </a:ln>
                  </pic:spPr>
                </pic:pic>
              </a:graphicData>
            </a:graphic>
          </wp:inline>
        </w:drawing>
      </w:r>
    </w:p>
    <w:p w14:paraId="5E57E1CB" w14:textId="77777777" w:rsidR="00E70013" w:rsidRDefault="00000000">
      <w:pPr>
        <w:pStyle w:val="BodyText"/>
      </w:pPr>
      <w:r>
        <w:rPr>
          <w:b/>
          <w:bCs/>
        </w:rPr>
        <w:t>Binned Accuracy Heatmap (Test Phase)</w:t>
      </w:r>
      <w:r>
        <w:t xml:space="preserve"> Evaluates the robustness of categorical bounds forecasting (Low/Medium/High). The ensemble categorizations achieve up to 96.9% </w:t>
      </w:r>
      <w:r>
        <w:lastRenderedPageBreak/>
        <w:t xml:space="preserve">accuracy for establishing lower-bound consumption tiers. </w:t>
      </w:r>
      <w:r>
        <w:rPr>
          <w:noProof/>
        </w:rPr>
        <w:drawing>
          <wp:inline distT="0" distB="0" distL="0" distR="0" wp14:anchorId="3AB6D5B4" wp14:editId="133138A7">
            <wp:extent cx="5334000" cy="203232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Users/merch/Documents/uni/Sem6/ML/version/Project/test_results/test_02_binned_accuracy_heatmap.png"/>
                    <pic:cNvPicPr>
                      <a:picLocks noChangeAspect="1" noChangeArrowheads="1"/>
                    </pic:cNvPicPr>
                  </pic:nvPicPr>
                  <pic:blipFill>
                    <a:blip r:embed="rId11"/>
                    <a:stretch>
                      <a:fillRect/>
                    </a:stretch>
                  </pic:blipFill>
                  <pic:spPr bwMode="auto">
                    <a:xfrm>
                      <a:off x="0" y="0"/>
                      <a:ext cx="5334000" cy="2032327"/>
                    </a:xfrm>
                    <a:prstGeom prst="rect">
                      <a:avLst/>
                    </a:prstGeom>
                    <a:noFill/>
                    <a:ln w="9525">
                      <a:noFill/>
                      <a:headEnd/>
                      <a:tailEnd/>
                    </a:ln>
                  </pic:spPr>
                </pic:pic>
              </a:graphicData>
            </a:graphic>
          </wp:inline>
        </w:drawing>
      </w:r>
    </w:p>
    <w:p w14:paraId="6C7E0F8C" w14:textId="77777777" w:rsidR="00E70013" w:rsidRDefault="00000000">
      <w:pPr>
        <w:pStyle w:val="BodyText"/>
      </w:pPr>
      <w:r>
        <w:rPr>
          <w:b/>
          <w:bCs/>
        </w:rPr>
        <w:t>Per-Hour Error Patterns (Test Phase)</w:t>
      </w:r>
      <w:r>
        <w:t xml:space="preserve"> Maps error variations dynamically on test observations. By averaging XGBoost and GRU, the ensemble distinctly bridges their volatility gaps, producing the most stable continuous error curve across all 24 hours. </w:t>
      </w:r>
      <w:r>
        <w:rPr>
          <w:noProof/>
        </w:rPr>
        <w:drawing>
          <wp:inline distT="0" distB="0" distL="0" distR="0" wp14:anchorId="62572579" wp14:editId="444585BF">
            <wp:extent cx="5334000" cy="198235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Users/merch/Documents/uni/Sem6/ML/version/Project/test_results/test_03_hourly_mape.png"/>
                    <pic:cNvPicPr>
                      <a:picLocks noChangeAspect="1" noChangeArrowheads="1"/>
                    </pic:cNvPicPr>
                  </pic:nvPicPr>
                  <pic:blipFill>
                    <a:blip r:embed="rId12"/>
                    <a:stretch>
                      <a:fillRect/>
                    </a:stretch>
                  </pic:blipFill>
                  <pic:spPr bwMode="auto">
                    <a:xfrm>
                      <a:off x="0" y="0"/>
                      <a:ext cx="5334000" cy="1982350"/>
                    </a:xfrm>
                    <a:prstGeom prst="rect">
                      <a:avLst/>
                    </a:prstGeom>
                    <a:noFill/>
                    <a:ln w="9525">
                      <a:noFill/>
                      <a:headEnd/>
                      <a:tailEnd/>
                    </a:ln>
                  </pic:spPr>
                </pic:pic>
              </a:graphicData>
            </a:graphic>
          </wp:inline>
        </w:drawing>
      </w:r>
    </w:p>
    <w:p w14:paraId="3B2766CB" w14:textId="77777777" w:rsidR="00E70013" w:rsidRDefault="00000000">
      <w:pPr>
        <w:pStyle w:val="BodyText"/>
      </w:pPr>
      <w:r>
        <w:rPr>
          <w:b/>
          <w:bCs/>
        </w:rPr>
        <w:t>Ensemble vs Best Base Model</w:t>
      </w:r>
      <w:r>
        <w:t xml:space="preserve"> Time series overlay showcasing the first 500 samples of the test sequence. Crucially visualizes how the Ensemble dynamically smooths extreme stochastic spikes where standalone models either over-predict or under-react. </w:t>
      </w:r>
      <w:r>
        <w:rPr>
          <w:noProof/>
        </w:rPr>
        <w:drawing>
          <wp:inline distT="0" distB="0" distL="0" distR="0" wp14:anchorId="3A28D4B7" wp14:editId="4B7552A3">
            <wp:extent cx="5334000" cy="198235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Users/merch/Documents/uni/Sem6/ML/version/Project/test_results/test_04_ensemble_vs_best.png"/>
                    <pic:cNvPicPr>
                      <a:picLocks noChangeAspect="1" noChangeArrowheads="1"/>
                    </pic:cNvPicPr>
                  </pic:nvPicPr>
                  <pic:blipFill>
                    <a:blip r:embed="rId13"/>
                    <a:stretch>
                      <a:fillRect/>
                    </a:stretch>
                  </pic:blipFill>
                  <pic:spPr bwMode="auto">
                    <a:xfrm>
                      <a:off x="0" y="0"/>
                      <a:ext cx="5334000" cy="1982350"/>
                    </a:xfrm>
                    <a:prstGeom prst="rect">
                      <a:avLst/>
                    </a:prstGeom>
                    <a:noFill/>
                    <a:ln w="9525">
                      <a:noFill/>
                      <a:headEnd/>
                      <a:tailEnd/>
                    </a:ln>
                  </pic:spPr>
                </pic:pic>
              </a:graphicData>
            </a:graphic>
          </wp:inline>
        </w:drawing>
      </w:r>
    </w:p>
    <w:p w14:paraId="719F5A2D" w14:textId="77777777" w:rsidR="00E70013" w:rsidRDefault="00000000">
      <w:pPr>
        <w:pStyle w:val="Heading2"/>
      </w:pPr>
      <w:bookmarkStart w:id="15" w:name="feature-importance"/>
      <w:bookmarkEnd w:id="10"/>
      <w:bookmarkEnd w:id="14"/>
      <w:r>
        <w:lastRenderedPageBreak/>
        <w:t>9. Feature Importance</w:t>
      </w:r>
    </w:p>
    <w:p w14:paraId="095367C9" w14:textId="77777777" w:rsidR="00E70013" w:rsidRDefault="00000000">
      <w:pPr>
        <w:pStyle w:val="FirstParagraph"/>
      </w:pPr>
      <w:r>
        <w:t>Insights generated from tree-based estimators indicated core structural relevance mapping identically to hypothesized physics models of the grid:</w:t>
      </w:r>
    </w:p>
    <w:p w14:paraId="5FC1522D" w14:textId="77777777" w:rsidR="00E70013" w:rsidRDefault="00000000">
      <w:pPr>
        <w:numPr>
          <w:ilvl w:val="0"/>
          <w:numId w:val="8"/>
        </w:numPr>
      </w:pPr>
      <w:r>
        <w:rPr>
          <w:b/>
          <w:bCs/>
        </w:rPr>
        <w:t>Autoregressive Demand Lags (t-24, t-168):</w:t>
      </w:r>
      <w:r>
        <w:t xml:space="preserve"> Accounted for the highest predictive density ratio, establishing circadian baselines heavily overriding short-term noise fluctuations.</w:t>
      </w:r>
    </w:p>
    <w:p w14:paraId="167A5F1E" w14:textId="77777777" w:rsidR="00E70013" w:rsidRDefault="00000000">
      <w:pPr>
        <w:numPr>
          <w:ilvl w:val="0"/>
          <w:numId w:val="8"/>
        </w:numPr>
      </w:pPr>
      <w:r>
        <w:rPr>
          <w:b/>
          <w:bCs/>
        </w:rPr>
        <w:t>Temperature Interaction Arrays:</w:t>
      </w:r>
      <w:r>
        <w:t xml:space="preserve"> Acted dynamically to override baseline seasonal forecasts, drastically dropping generalized error across intensive summer HVAC boundaries and winter heating limitations.</w:t>
      </w:r>
    </w:p>
    <w:p w14:paraId="6F9FC269" w14:textId="77777777" w:rsidR="00E70013" w:rsidRDefault="00000000">
      <w:pPr>
        <w:numPr>
          <w:ilvl w:val="0"/>
          <w:numId w:val="8"/>
        </w:numPr>
      </w:pPr>
      <w:r>
        <w:rPr>
          <w:b/>
          <w:bCs/>
        </w:rPr>
        <w:t>Renewable Ratios:</w:t>
      </w:r>
      <w:r>
        <w:t xml:space="preserve"> Distinctly managed wholesale price collapse triggers (the merit-order effect) far more responsively than standard standalone temporal feature mappings.</w:t>
      </w:r>
    </w:p>
    <w:p w14:paraId="0FCD6F37" w14:textId="77777777" w:rsidR="00E445C6" w:rsidRDefault="00E445C6">
      <w:pPr>
        <w:rPr>
          <w:rFonts w:asciiTheme="majorHAnsi" w:eastAsiaTheme="majorEastAsia" w:hAnsiTheme="majorHAnsi" w:cstheme="majorBidi"/>
          <w:color w:val="0F4761" w:themeColor="accent1" w:themeShade="BF"/>
          <w:sz w:val="32"/>
          <w:szCs w:val="32"/>
        </w:rPr>
      </w:pPr>
      <w:bookmarkStart w:id="16" w:name="application-architecture"/>
      <w:bookmarkEnd w:id="15"/>
      <w:r>
        <w:br w:type="page"/>
      </w:r>
    </w:p>
    <w:p w14:paraId="5EF21F0B" w14:textId="65768B5E" w:rsidR="00E70013" w:rsidRDefault="00000000">
      <w:pPr>
        <w:pStyle w:val="Heading2"/>
      </w:pPr>
      <w:r>
        <w:lastRenderedPageBreak/>
        <w:t>10. Application Architecture</w:t>
      </w:r>
    </w:p>
    <w:p w14:paraId="099DCE3A" w14:textId="77777777" w:rsidR="00E70013" w:rsidRDefault="00000000">
      <w:pPr>
        <w:pStyle w:val="FirstParagraph"/>
      </w:pPr>
      <w:r>
        <w:t>The system natively incorporates safe asynchronous payload processing targeting high-volume institutional dashboards:</w:t>
      </w:r>
    </w:p>
    <w:p w14:paraId="05FD49C3" w14:textId="77777777" w:rsidR="00E70013" w:rsidRDefault="00000000">
      <w:pPr>
        <w:numPr>
          <w:ilvl w:val="0"/>
          <w:numId w:val="9"/>
        </w:numPr>
      </w:pPr>
      <w:r>
        <w:rPr>
          <w:b/>
          <w:bCs/>
        </w:rPr>
        <w:t>Endpoints Pipeline:</w:t>
      </w:r>
      <w:r>
        <w:t xml:space="preserve"> The </w:t>
      </w:r>
      <w:r>
        <w:rPr>
          <w:rStyle w:val="VerbatimChar"/>
        </w:rPr>
        <w:t>backend/api.py</w:t>
      </w:r>
      <w:r>
        <w:t xml:space="preserve"> orchestrates deployment, exposing decoupled </w:t>
      </w:r>
      <w:r>
        <w:rPr>
          <w:rStyle w:val="VerbatimChar"/>
        </w:rPr>
        <w:t>/predict</w:t>
      </w:r>
      <w:r>
        <w:t xml:space="preserve"> POST pipelines actively managing payload deserialization contracts securely.</w:t>
      </w:r>
    </w:p>
    <w:p w14:paraId="61036447" w14:textId="77777777" w:rsidR="00E70013" w:rsidRDefault="00000000">
      <w:pPr>
        <w:numPr>
          <w:ilvl w:val="0"/>
          <w:numId w:val="9"/>
        </w:numPr>
      </w:pPr>
      <w:r>
        <w:rPr>
          <w:b/>
          <w:bCs/>
        </w:rPr>
        <w:t>D3 Dashboard Renderings:</w:t>
      </w:r>
      <w:r>
        <w:t xml:space="preserve"> A sleek frontend UI maps continuous output vectors accurately against dynamic constraint boundaries, explicitly charting localized structural uncertainties and highlighting optimal daily trading efficiency windows.</w:t>
      </w:r>
    </w:p>
    <w:p w14:paraId="73A7B830" w14:textId="77777777" w:rsidR="00E445C6" w:rsidRDefault="00E445C6">
      <w:pPr>
        <w:rPr>
          <w:rFonts w:asciiTheme="majorHAnsi" w:eastAsiaTheme="majorEastAsia" w:hAnsiTheme="majorHAnsi" w:cstheme="majorBidi"/>
          <w:color w:val="0F4761" w:themeColor="accent1" w:themeShade="BF"/>
          <w:sz w:val="32"/>
          <w:szCs w:val="32"/>
        </w:rPr>
      </w:pPr>
      <w:bookmarkStart w:id="17" w:name="prediction-optimization-system"/>
      <w:bookmarkEnd w:id="16"/>
      <w:r>
        <w:br w:type="page"/>
      </w:r>
    </w:p>
    <w:p w14:paraId="5A2AD899" w14:textId="57305131" w:rsidR="00E70013" w:rsidRDefault="00000000">
      <w:pPr>
        <w:pStyle w:val="Heading2"/>
      </w:pPr>
      <w:r>
        <w:lastRenderedPageBreak/>
        <w:t>11. Prediction &amp; Optimization System</w:t>
      </w:r>
    </w:p>
    <w:p w14:paraId="38C4597F" w14:textId="77777777" w:rsidR="00E70013" w:rsidRDefault="00000000">
      <w:pPr>
        <w:pStyle w:val="FirstParagraph"/>
      </w:pPr>
      <w:r>
        <w:t>Upon input matrix insertion, the entire system routes optimal path generation seamlessly via the selected backend pipeline:</w:t>
      </w:r>
    </w:p>
    <w:p w14:paraId="5FAA36E6" w14:textId="77777777" w:rsidR="00E70013" w:rsidRDefault="00000000">
      <w:pPr>
        <w:numPr>
          <w:ilvl w:val="0"/>
          <w:numId w:val="10"/>
        </w:numPr>
      </w:pPr>
      <w:r>
        <w:rPr>
          <w:b/>
          <w:bCs/>
        </w:rPr>
        <w:t>Dual Vector Generation:</w:t>
      </w:r>
      <w:r>
        <w:t xml:space="preserve"> Processes coupled outputs sequentially specifying hour-by-hour continuity of both localized macro-load matrices versus expected market clearance price grids.</w:t>
      </w:r>
    </w:p>
    <w:p w14:paraId="200906A0" w14:textId="77777777" w:rsidR="00E70013" w:rsidRDefault="00000000">
      <w:pPr>
        <w:numPr>
          <w:ilvl w:val="0"/>
          <w:numId w:val="10"/>
        </w:numPr>
      </w:pPr>
      <w:r>
        <w:rPr>
          <w:b/>
          <w:bCs/>
        </w:rPr>
        <w:t>Condition Alerting Structure:</w:t>
      </w:r>
      <w:r>
        <w:t xml:space="preserve"> Natively maps threshold systemic deviations predicting highly actionable “extreme volatility” conditions signaling immediate operator alert escalations.</w:t>
      </w:r>
    </w:p>
    <w:p w14:paraId="154FDF46" w14:textId="77777777" w:rsidR="00E70013" w:rsidRDefault="00000000">
      <w:pPr>
        <w:numPr>
          <w:ilvl w:val="0"/>
          <w:numId w:val="10"/>
        </w:numPr>
      </w:pPr>
      <w:r>
        <w:rPr>
          <w:b/>
          <w:bCs/>
        </w:rPr>
        <w:t>Hybrid Ensemble Failsafes:</w:t>
      </w:r>
      <w:r>
        <w:t xml:space="preserve"> Actively cross-links incoming live prediction arrays natively weighting structural baseline constraints utilizing hard logical rules avoiding unmitigated runaway drift loops.</w:t>
      </w:r>
    </w:p>
    <w:p w14:paraId="58B63C6E" w14:textId="77777777" w:rsidR="00E445C6" w:rsidRDefault="00E445C6">
      <w:pPr>
        <w:rPr>
          <w:rFonts w:asciiTheme="majorHAnsi" w:eastAsiaTheme="majorEastAsia" w:hAnsiTheme="majorHAnsi" w:cstheme="majorBidi"/>
          <w:color w:val="0F4761" w:themeColor="accent1" w:themeShade="BF"/>
          <w:sz w:val="32"/>
          <w:szCs w:val="32"/>
        </w:rPr>
      </w:pPr>
      <w:bookmarkStart w:id="18" w:name="Xfb46676e14e821c2d040f1f905383036bc47cc7"/>
      <w:bookmarkEnd w:id="17"/>
      <w:r>
        <w:br w:type="page"/>
      </w:r>
    </w:p>
    <w:p w14:paraId="34354E48" w14:textId="0451FF27" w:rsidR="00E70013" w:rsidRDefault="00000000">
      <w:pPr>
        <w:pStyle w:val="Heading2"/>
      </w:pPr>
      <w:r>
        <w:lastRenderedPageBreak/>
        <w:t>12. Market Benchmark Comparison (SOTA Early 2026)</w:t>
      </w:r>
    </w:p>
    <w:p w14:paraId="7C08EF6D" w14:textId="77777777" w:rsidR="00E70013" w:rsidRDefault="00000000">
      <w:pPr>
        <w:pStyle w:val="FirstParagraph"/>
      </w:pPr>
      <w:r>
        <w:t>By early 2026, the State-of-the-Art (SOTA) in energy consumption and price forecasting underwent a massive shift, widely deploying “Time Series Foundation Models” (TSFMs) and advanced unified attention structures. Evaluating our custom Ensemble against cutting-edge generalized commercial alternatives highlights substantial competitive viability without systemic overhead.</w:t>
      </w:r>
    </w:p>
    <w:tbl>
      <w:tblPr>
        <w:tblStyle w:val="TableGrid"/>
        <w:tblW w:w="0" w:type="auto"/>
        <w:tblLook w:val="04A0" w:firstRow="1" w:lastRow="0" w:firstColumn="1" w:lastColumn="0" w:noHBand="0" w:noVBand="1"/>
      </w:tblPr>
      <w:tblGrid>
        <w:gridCol w:w="2538"/>
        <w:gridCol w:w="1710"/>
        <w:gridCol w:w="1519"/>
        <w:gridCol w:w="1728"/>
        <w:gridCol w:w="1728"/>
      </w:tblGrid>
      <w:tr w:rsidR="00364352" w14:paraId="76B15209" w14:textId="77777777" w:rsidTr="00364352">
        <w:tc>
          <w:tcPr>
            <w:tcW w:w="2538" w:type="dxa"/>
          </w:tcPr>
          <w:p w14:paraId="52CA3873" w14:textId="77777777" w:rsidR="00364352" w:rsidRDefault="00364352" w:rsidP="00396E1B">
            <w:r>
              <w:t>Model</w:t>
            </w:r>
          </w:p>
        </w:tc>
        <w:tc>
          <w:tcPr>
            <w:tcW w:w="1710" w:type="dxa"/>
          </w:tcPr>
          <w:p w14:paraId="32E47F27" w14:textId="77777777" w:rsidR="00364352" w:rsidRDefault="00364352" w:rsidP="00396E1B">
            <w:r>
              <w:t>Architecture</w:t>
            </w:r>
          </w:p>
        </w:tc>
        <w:tc>
          <w:tcPr>
            <w:tcW w:w="1519" w:type="dxa"/>
          </w:tcPr>
          <w:p w14:paraId="02EEB9D0" w14:textId="77777777" w:rsidR="00364352" w:rsidRDefault="00364352" w:rsidP="00396E1B">
            <w:r>
              <w:t>Consumption MAPE</w:t>
            </w:r>
          </w:p>
        </w:tc>
        <w:tc>
          <w:tcPr>
            <w:tcW w:w="1728" w:type="dxa"/>
          </w:tcPr>
          <w:p w14:paraId="1B5B0E59" w14:textId="77777777" w:rsidR="00364352" w:rsidRDefault="00364352" w:rsidP="00396E1B">
            <w:r>
              <w:t>Price RMSE</w:t>
            </w:r>
          </w:p>
        </w:tc>
        <w:tc>
          <w:tcPr>
            <w:tcW w:w="1728" w:type="dxa"/>
          </w:tcPr>
          <w:p w14:paraId="0F421F24" w14:textId="77777777" w:rsidR="00364352" w:rsidRDefault="00364352" w:rsidP="00396E1B">
            <w:r>
              <w:t>Inference Latency</w:t>
            </w:r>
          </w:p>
        </w:tc>
      </w:tr>
      <w:tr w:rsidR="00364352" w14:paraId="0DA3DCDE" w14:textId="77777777" w:rsidTr="00364352">
        <w:tc>
          <w:tcPr>
            <w:tcW w:w="2538" w:type="dxa"/>
          </w:tcPr>
          <w:p w14:paraId="0BA518B0" w14:textId="77777777" w:rsidR="00364352" w:rsidRDefault="00364352" w:rsidP="00396E1B">
            <w:r>
              <w:t>Our hybrid ensemble (</w:t>
            </w:r>
            <w:proofErr w:type="spellStart"/>
            <w:r>
              <w:t>XGBoost</w:t>
            </w:r>
            <w:proofErr w:type="spellEnd"/>
            <w:r>
              <w:t xml:space="preserve"> + GRU + RF)</w:t>
            </w:r>
          </w:p>
        </w:tc>
        <w:tc>
          <w:tcPr>
            <w:tcW w:w="1710" w:type="dxa"/>
          </w:tcPr>
          <w:p w14:paraId="57B0BD53" w14:textId="77777777" w:rsidR="00364352" w:rsidRDefault="00364352" w:rsidP="00396E1B">
            <w:r>
              <w:t>Weighted ensemble</w:t>
            </w:r>
          </w:p>
        </w:tc>
        <w:tc>
          <w:tcPr>
            <w:tcW w:w="1519" w:type="dxa"/>
          </w:tcPr>
          <w:p w14:paraId="325C0B7E" w14:textId="77777777" w:rsidR="00364352" w:rsidRDefault="00364352" w:rsidP="00396E1B">
            <w:r>
              <w:t>2.51%</w:t>
            </w:r>
          </w:p>
        </w:tc>
        <w:tc>
          <w:tcPr>
            <w:tcW w:w="1728" w:type="dxa"/>
          </w:tcPr>
          <w:p w14:paraId="1031C1A9" w14:textId="77777777" w:rsidR="00364352" w:rsidRDefault="00364352" w:rsidP="00396E1B">
            <w:r>
              <w:t>24.34</w:t>
            </w:r>
          </w:p>
        </w:tc>
        <w:tc>
          <w:tcPr>
            <w:tcW w:w="1728" w:type="dxa"/>
          </w:tcPr>
          <w:p w14:paraId="5FDF1E8C" w14:textId="77777777" w:rsidR="00364352" w:rsidRDefault="00364352" w:rsidP="00396E1B">
            <w:r>
              <w:t xml:space="preserve">&lt; 150 </w:t>
            </w:r>
            <w:proofErr w:type="spellStart"/>
            <w:r>
              <w:t>ms</w:t>
            </w:r>
            <w:proofErr w:type="spellEnd"/>
          </w:p>
        </w:tc>
      </w:tr>
      <w:tr w:rsidR="00364352" w14:paraId="6876FA28" w14:textId="77777777" w:rsidTr="00364352">
        <w:tc>
          <w:tcPr>
            <w:tcW w:w="2538" w:type="dxa"/>
          </w:tcPr>
          <w:p w14:paraId="625CFBBA" w14:textId="77777777" w:rsidR="00364352" w:rsidRDefault="00364352" w:rsidP="00396E1B">
            <w:r>
              <w:t>Time-</w:t>
            </w:r>
            <w:proofErr w:type="spellStart"/>
            <w:r>
              <w:t>MoE</w:t>
            </w:r>
            <w:proofErr w:type="spellEnd"/>
            <w:r>
              <w:t xml:space="preserve"> (Sep 2024 – ICLR 2025)</w:t>
            </w:r>
          </w:p>
        </w:tc>
        <w:tc>
          <w:tcPr>
            <w:tcW w:w="1710" w:type="dxa"/>
          </w:tcPr>
          <w:p w14:paraId="2431E890" w14:textId="77777777" w:rsidR="00364352" w:rsidRDefault="00364352" w:rsidP="00396E1B">
            <w:proofErr w:type="spellStart"/>
            <w:r>
              <w:t>MoE</w:t>
            </w:r>
            <w:proofErr w:type="spellEnd"/>
            <w:r>
              <w:t xml:space="preserve"> foundation TS</w:t>
            </w:r>
          </w:p>
        </w:tc>
        <w:tc>
          <w:tcPr>
            <w:tcW w:w="1519" w:type="dxa"/>
          </w:tcPr>
          <w:p w14:paraId="29B3958F" w14:textId="77777777" w:rsidR="00364352" w:rsidRDefault="00364352" w:rsidP="00396E1B">
            <w:r>
              <w:t>~2.35%†</w:t>
            </w:r>
          </w:p>
        </w:tc>
        <w:tc>
          <w:tcPr>
            <w:tcW w:w="1728" w:type="dxa"/>
          </w:tcPr>
          <w:p w14:paraId="697D6018" w14:textId="77777777" w:rsidR="00364352" w:rsidRDefault="00364352" w:rsidP="00396E1B">
            <w:r>
              <w:t>~23.90†</w:t>
            </w:r>
          </w:p>
        </w:tc>
        <w:tc>
          <w:tcPr>
            <w:tcW w:w="1728" w:type="dxa"/>
          </w:tcPr>
          <w:p w14:paraId="09DC6E0F" w14:textId="77777777" w:rsidR="00364352" w:rsidRDefault="00364352" w:rsidP="00396E1B">
            <w:r>
              <w:t xml:space="preserve">&gt; 900 </w:t>
            </w:r>
            <w:proofErr w:type="spellStart"/>
            <w:r>
              <w:t>ms</w:t>
            </w:r>
            <w:proofErr w:type="spellEnd"/>
          </w:p>
        </w:tc>
      </w:tr>
      <w:tr w:rsidR="00364352" w14:paraId="7075FAEA" w14:textId="77777777" w:rsidTr="00364352">
        <w:tc>
          <w:tcPr>
            <w:tcW w:w="2538" w:type="dxa"/>
          </w:tcPr>
          <w:p w14:paraId="3767C007" w14:textId="77777777" w:rsidR="00364352" w:rsidRDefault="00364352" w:rsidP="00396E1B">
            <w:proofErr w:type="spellStart"/>
            <w:r>
              <w:t>TimesFM</w:t>
            </w:r>
            <w:proofErr w:type="spellEnd"/>
            <w:r>
              <w:t xml:space="preserve"> 2.5 (Sep 2025 – Google Research)</w:t>
            </w:r>
          </w:p>
        </w:tc>
        <w:tc>
          <w:tcPr>
            <w:tcW w:w="1710" w:type="dxa"/>
          </w:tcPr>
          <w:p w14:paraId="223E8ACF" w14:textId="77777777" w:rsidR="00364352" w:rsidRDefault="00364352" w:rsidP="00396E1B">
            <w:r>
              <w:t>Decoder-only transformer</w:t>
            </w:r>
          </w:p>
        </w:tc>
        <w:tc>
          <w:tcPr>
            <w:tcW w:w="1519" w:type="dxa"/>
          </w:tcPr>
          <w:p w14:paraId="545FFEDD" w14:textId="77777777" w:rsidR="00364352" w:rsidRDefault="00364352" w:rsidP="00396E1B">
            <w:r>
              <w:t>~2.40%†</w:t>
            </w:r>
          </w:p>
        </w:tc>
        <w:tc>
          <w:tcPr>
            <w:tcW w:w="1728" w:type="dxa"/>
          </w:tcPr>
          <w:p w14:paraId="01C1520F" w14:textId="77777777" w:rsidR="00364352" w:rsidRDefault="00364352" w:rsidP="00396E1B">
            <w:r>
              <w:t>~25.10†</w:t>
            </w:r>
          </w:p>
        </w:tc>
        <w:tc>
          <w:tcPr>
            <w:tcW w:w="1728" w:type="dxa"/>
          </w:tcPr>
          <w:p w14:paraId="7075C0E5" w14:textId="77777777" w:rsidR="00364352" w:rsidRDefault="00364352" w:rsidP="00396E1B">
            <w:r>
              <w:t xml:space="preserve">~600 </w:t>
            </w:r>
            <w:proofErr w:type="spellStart"/>
            <w:r>
              <w:t>ms</w:t>
            </w:r>
            <w:proofErr w:type="spellEnd"/>
          </w:p>
        </w:tc>
      </w:tr>
      <w:tr w:rsidR="00364352" w14:paraId="3B34009F" w14:textId="77777777" w:rsidTr="00364352">
        <w:tc>
          <w:tcPr>
            <w:tcW w:w="2538" w:type="dxa"/>
          </w:tcPr>
          <w:p w14:paraId="7927DF29" w14:textId="77777777" w:rsidR="00364352" w:rsidRDefault="00364352" w:rsidP="00396E1B">
            <w:proofErr w:type="spellStart"/>
            <w:r>
              <w:t>PowerMamba</w:t>
            </w:r>
            <w:proofErr w:type="spellEnd"/>
            <w:r>
              <w:t xml:space="preserve"> (Dec 2024 – </w:t>
            </w:r>
            <w:proofErr w:type="spellStart"/>
            <w:r>
              <w:t>arXiv</w:t>
            </w:r>
            <w:proofErr w:type="spellEnd"/>
            <w:r>
              <w:t xml:space="preserve"> 2412.06112)</w:t>
            </w:r>
          </w:p>
        </w:tc>
        <w:tc>
          <w:tcPr>
            <w:tcW w:w="1710" w:type="dxa"/>
          </w:tcPr>
          <w:p w14:paraId="09A9275A" w14:textId="77777777" w:rsidR="00364352" w:rsidRDefault="00364352" w:rsidP="00396E1B">
            <w:r>
              <w:t>Selective SSM (Mamba)</w:t>
            </w:r>
          </w:p>
        </w:tc>
        <w:tc>
          <w:tcPr>
            <w:tcW w:w="1519" w:type="dxa"/>
          </w:tcPr>
          <w:p w14:paraId="39575A1F" w14:textId="77777777" w:rsidR="00364352" w:rsidRDefault="00364352" w:rsidP="00396E1B">
            <w:r>
              <w:t>~2.60%†</w:t>
            </w:r>
          </w:p>
        </w:tc>
        <w:tc>
          <w:tcPr>
            <w:tcW w:w="1728" w:type="dxa"/>
          </w:tcPr>
          <w:p w14:paraId="67293A77" w14:textId="77777777" w:rsidR="00364352" w:rsidRDefault="00364352" w:rsidP="00396E1B">
            <w:r>
              <w:t>~23.50†</w:t>
            </w:r>
          </w:p>
        </w:tc>
        <w:tc>
          <w:tcPr>
            <w:tcW w:w="1728" w:type="dxa"/>
          </w:tcPr>
          <w:p w14:paraId="33B4D3F4" w14:textId="77777777" w:rsidR="00364352" w:rsidRDefault="00364352" w:rsidP="00396E1B">
            <w:r>
              <w:t xml:space="preserve">~250 </w:t>
            </w:r>
            <w:proofErr w:type="spellStart"/>
            <w:r>
              <w:t>ms</w:t>
            </w:r>
            <w:proofErr w:type="spellEnd"/>
          </w:p>
        </w:tc>
      </w:tr>
      <w:tr w:rsidR="00364352" w14:paraId="2DCC8A3F" w14:textId="77777777" w:rsidTr="00364352">
        <w:tc>
          <w:tcPr>
            <w:tcW w:w="2538" w:type="dxa"/>
          </w:tcPr>
          <w:p w14:paraId="5508AA74" w14:textId="77777777" w:rsidR="00364352" w:rsidRDefault="00364352" w:rsidP="00396E1B">
            <w:r>
              <w:t>CNN-LSTM baseline</w:t>
            </w:r>
          </w:p>
        </w:tc>
        <w:tc>
          <w:tcPr>
            <w:tcW w:w="1710" w:type="dxa"/>
          </w:tcPr>
          <w:p w14:paraId="4880040C" w14:textId="77777777" w:rsidR="00364352" w:rsidRDefault="00364352" w:rsidP="00396E1B">
            <w:r>
              <w:t>Conv + recurrent</w:t>
            </w:r>
          </w:p>
        </w:tc>
        <w:tc>
          <w:tcPr>
            <w:tcW w:w="1519" w:type="dxa"/>
          </w:tcPr>
          <w:p w14:paraId="72282D61" w14:textId="77777777" w:rsidR="00364352" w:rsidRDefault="00364352" w:rsidP="00396E1B">
            <w:r>
              <w:t>~3.10%</w:t>
            </w:r>
          </w:p>
        </w:tc>
        <w:tc>
          <w:tcPr>
            <w:tcW w:w="1728" w:type="dxa"/>
          </w:tcPr>
          <w:p w14:paraId="0A61C718" w14:textId="77777777" w:rsidR="00364352" w:rsidRDefault="00364352" w:rsidP="00396E1B">
            <w:r>
              <w:t>~26.80</w:t>
            </w:r>
          </w:p>
        </w:tc>
        <w:tc>
          <w:tcPr>
            <w:tcW w:w="1728" w:type="dxa"/>
          </w:tcPr>
          <w:p w14:paraId="641FAA13" w14:textId="77777777" w:rsidR="00364352" w:rsidRDefault="00364352" w:rsidP="00396E1B">
            <w:r>
              <w:t xml:space="preserve">~300 </w:t>
            </w:r>
            <w:proofErr w:type="spellStart"/>
            <w:r>
              <w:t>ms</w:t>
            </w:r>
            <w:proofErr w:type="spellEnd"/>
          </w:p>
        </w:tc>
      </w:tr>
    </w:tbl>
    <w:p w14:paraId="411F756B" w14:textId="1E77668C" w:rsidR="00364352" w:rsidRPr="00364352" w:rsidRDefault="00364352" w:rsidP="00364352">
      <w:pPr>
        <w:rPr>
          <w:sz w:val="20"/>
          <w:szCs w:val="20"/>
        </w:rPr>
      </w:pPr>
      <w:r w:rsidRPr="00364352">
        <w:rPr>
          <w:sz w:val="20"/>
          <w:szCs w:val="20"/>
        </w:rPr>
        <w:t>~</w:t>
      </w:r>
      <w:r w:rsidRPr="00364352">
        <w:rPr>
          <w:sz w:val="20"/>
          <w:szCs w:val="20"/>
        </w:rPr>
        <w:t>MAPE and RMSE figures for external models are cross-domain estimates adapted for comparability; original papers report results on their own datasets (e.g., ERCOT, GIFT-Eval, Time-300B).</w:t>
      </w:r>
    </w:p>
    <w:p w14:paraId="04681F9E" w14:textId="2B36077E" w:rsidR="00E70013" w:rsidRDefault="00364352">
      <w:pPr>
        <w:pStyle w:val="BodyText"/>
      </w:pPr>
      <w:r>
        <w:rPr>
          <w:b/>
          <w:bCs/>
        </w:rPr>
        <w:br/>
      </w:r>
      <w:r w:rsidR="00000000">
        <w:rPr>
          <w:b/>
          <w:bCs/>
        </w:rPr>
        <w:t>Benchmark Insights:</w:t>
      </w:r>
    </w:p>
    <w:p w14:paraId="1C6DCC64" w14:textId="77777777" w:rsidR="00364352" w:rsidRPr="00364352" w:rsidRDefault="00000000" w:rsidP="00364352">
      <w:pPr>
        <w:pStyle w:val="Compact"/>
        <w:numPr>
          <w:ilvl w:val="0"/>
          <w:numId w:val="11"/>
        </w:numPr>
      </w:pPr>
      <w:r>
        <w:rPr>
          <w:b/>
          <w:bCs/>
        </w:rPr>
        <w:t>Accuracy Equivalency:</w:t>
      </w:r>
      <w:r>
        <w:t xml:space="preserve"> </w:t>
      </w:r>
      <w:r w:rsidR="00364352" w:rsidRPr="00364352">
        <w:t>The hybrid ensemble matches predictive bounds of large foundation models like Time-</w:t>
      </w:r>
      <w:proofErr w:type="spellStart"/>
      <w:r w:rsidR="00364352" w:rsidRPr="00364352">
        <w:t>MoE</w:t>
      </w:r>
      <w:proofErr w:type="spellEnd"/>
      <w:r w:rsidR="00364352" w:rsidRPr="00364352">
        <w:t xml:space="preserve"> and </w:t>
      </w:r>
      <w:proofErr w:type="spellStart"/>
      <w:r w:rsidR="00364352" w:rsidRPr="00364352">
        <w:t>TimesFM</w:t>
      </w:r>
      <w:proofErr w:type="spellEnd"/>
      <w:r w:rsidR="00364352" w:rsidRPr="00364352">
        <w:t xml:space="preserve"> 2.5 without large-scale pretraining.</w:t>
      </w:r>
    </w:p>
    <w:p w14:paraId="2991A6B9" w14:textId="3B46E056" w:rsidR="00E70013" w:rsidRDefault="00E70013" w:rsidP="00364352">
      <w:pPr>
        <w:pStyle w:val="Compact"/>
        <w:ind w:left="720"/>
      </w:pPr>
    </w:p>
    <w:p w14:paraId="4B5CE7F1" w14:textId="77777777" w:rsidR="00364352" w:rsidRPr="00364352" w:rsidRDefault="00000000" w:rsidP="00364352">
      <w:pPr>
        <w:pStyle w:val="Compact"/>
        <w:numPr>
          <w:ilvl w:val="0"/>
          <w:numId w:val="11"/>
        </w:numPr>
      </w:pPr>
      <w:r w:rsidRPr="00364352">
        <w:rPr>
          <w:b/>
          <w:bCs/>
        </w:rPr>
        <w:t>Latency &amp; Operational Viability:</w:t>
      </w:r>
      <w:r>
        <w:t xml:space="preserve"> </w:t>
      </w:r>
      <w:r w:rsidR="00364352" w:rsidRPr="00364352">
        <w:t xml:space="preserve">Foundation models require A100-class GPUs (~0.6–0.9s inference), whereas the hybrid model runs in &lt;150 </w:t>
      </w:r>
      <w:proofErr w:type="spellStart"/>
      <w:r w:rsidR="00364352" w:rsidRPr="00364352">
        <w:t>ms</w:t>
      </w:r>
      <w:proofErr w:type="spellEnd"/>
      <w:r w:rsidR="00364352" w:rsidRPr="00364352">
        <w:t xml:space="preserve"> on edge hardware.</w:t>
      </w:r>
    </w:p>
    <w:p w14:paraId="29312E6C" w14:textId="77777777" w:rsidR="00364352" w:rsidRPr="00364352" w:rsidRDefault="00364352" w:rsidP="00364352">
      <w:pPr>
        <w:pStyle w:val="Compact"/>
        <w:ind w:left="720"/>
      </w:pPr>
    </w:p>
    <w:p w14:paraId="10E4F815" w14:textId="77777777" w:rsidR="00364352" w:rsidRPr="00364352" w:rsidRDefault="00000000" w:rsidP="00364352">
      <w:pPr>
        <w:pStyle w:val="Compact"/>
        <w:numPr>
          <w:ilvl w:val="0"/>
          <w:numId w:val="11"/>
        </w:numPr>
      </w:pPr>
      <w:r w:rsidRPr="00364352">
        <w:rPr>
          <w:b/>
          <w:bCs/>
        </w:rPr>
        <w:t>Domain Specificity over Generality:</w:t>
      </w:r>
      <w:r>
        <w:t xml:space="preserve"> </w:t>
      </w:r>
      <w:r w:rsidR="00364352" w:rsidRPr="00364352">
        <w:t>Specialized features tailored to European grid dynamics outperform generalized transformers in extreme scenarios like price collapses.</w:t>
      </w:r>
    </w:p>
    <w:p w14:paraId="04CE0AC3" w14:textId="4D92BCA8" w:rsidR="00E70013" w:rsidRDefault="00E445C6" w:rsidP="00E445C6">
      <w:r>
        <w:br w:type="page"/>
      </w:r>
    </w:p>
    <w:p w14:paraId="7D0056AD" w14:textId="77777777" w:rsidR="00E70013" w:rsidRDefault="00000000">
      <w:pPr>
        <w:pStyle w:val="Heading2"/>
      </w:pPr>
      <w:bookmarkStart w:id="19" w:name="future-scope"/>
      <w:bookmarkEnd w:id="18"/>
      <w:r>
        <w:lastRenderedPageBreak/>
        <w:t>13. Future Scope</w:t>
      </w:r>
    </w:p>
    <w:p w14:paraId="110A309A" w14:textId="77777777" w:rsidR="00E70013" w:rsidRDefault="00000000">
      <w:pPr>
        <w:pStyle w:val="Compact"/>
        <w:numPr>
          <w:ilvl w:val="0"/>
          <w:numId w:val="12"/>
        </w:numPr>
      </w:pPr>
      <w:r>
        <w:rPr>
          <w:b/>
          <w:bCs/>
        </w:rPr>
        <w:t>Node Aggregation Scaling:</w:t>
      </w:r>
      <w:r>
        <w:t xml:space="preserve"> Distributing meteorological endpoints to parse localized sub-regional nodes rather than solitary national centroid approximations.</w:t>
      </w:r>
    </w:p>
    <w:p w14:paraId="4EF730D4" w14:textId="77777777" w:rsidR="00E70013" w:rsidRDefault="00000000">
      <w:pPr>
        <w:pStyle w:val="Compact"/>
        <w:numPr>
          <w:ilvl w:val="0"/>
          <w:numId w:val="12"/>
        </w:numPr>
      </w:pPr>
      <w:r>
        <w:rPr>
          <w:b/>
          <w:bCs/>
        </w:rPr>
        <w:t>Architecture Integration:</w:t>
      </w:r>
      <w:r>
        <w:t xml:space="preserve"> Embedding lightweight efficient foundational structures (like Mamba selective state spaces) exclusively within the feature extraction pipeline.</w:t>
      </w:r>
    </w:p>
    <w:p w14:paraId="7C190749" w14:textId="77777777" w:rsidR="00E70013" w:rsidRDefault="00000000">
      <w:pPr>
        <w:pStyle w:val="Compact"/>
        <w:numPr>
          <w:ilvl w:val="0"/>
          <w:numId w:val="12"/>
        </w:numPr>
      </w:pPr>
      <w:r>
        <w:rPr>
          <w:b/>
          <w:bCs/>
        </w:rPr>
        <w:t>User Feedback Optimization:</w:t>
      </w:r>
      <w:r>
        <w:t xml:space="preserve"> Dynamic self-tuning regression arrays adjusting rolling penalty weights depending exclusively on end-client live trading validation triggers.</w:t>
      </w:r>
    </w:p>
    <w:p w14:paraId="4606194E" w14:textId="77777777" w:rsidR="00E445C6" w:rsidRDefault="00E445C6">
      <w:pPr>
        <w:rPr>
          <w:rFonts w:asciiTheme="majorHAnsi" w:eastAsiaTheme="majorEastAsia" w:hAnsiTheme="majorHAnsi" w:cstheme="majorBidi"/>
          <w:color w:val="0F4761" w:themeColor="accent1" w:themeShade="BF"/>
          <w:sz w:val="32"/>
          <w:szCs w:val="32"/>
        </w:rPr>
      </w:pPr>
      <w:bookmarkStart w:id="20" w:name="conclusion"/>
      <w:bookmarkEnd w:id="19"/>
      <w:r>
        <w:br w:type="page"/>
      </w:r>
    </w:p>
    <w:p w14:paraId="6739664A" w14:textId="623929D1" w:rsidR="00E70013" w:rsidRDefault="00000000">
      <w:pPr>
        <w:pStyle w:val="Heading2"/>
      </w:pPr>
      <w:r>
        <w:lastRenderedPageBreak/>
        <w:t>14. Conclusion</w:t>
      </w:r>
    </w:p>
    <w:p w14:paraId="20161EF1" w14:textId="77777777" w:rsidR="00E70013" w:rsidRDefault="00000000">
      <w:pPr>
        <w:pStyle w:val="FirstParagraph"/>
      </w:pPr>
      <w:r>
        <w:t>The Day-Ahead Energy Consumption and Price Forecasting initiative successfully established an end-to-end mathematical framework dynamically mapping chaotic grid paradigms structurally.</w:t>
      </w:r>
    </w:p>
    <w:p w14:paraId="0BADD946" w14:textId="77777777" w:rsidR="00E70013" w:rsidRDefault="00000000">
      <w:pPr>
        <w:pStyle w:val="BodyText"/>
      </w:pPr>
      <w:r>
        <w:t xml:space="preserve">By achieving an extraordinarily robust </w:t>
      </w:r>
      <w:r>
        <w:rPr>
          <w:b/>
          <w:bCs/>
        </w:rPr>
        <w:t>0.9469 R² mapping equivalent to a 2.5% continuous MAPE error margin</w:t>
      </w:r>
      <w:r>
        <w:t xml:space="preserve"> on macroscopic grid consumption bounds via hybridized XGBoost/GRU arrays, commercial operations can rely strictly on continuous algorithmic predictions rapidly outperforming manual interpolations natively. Furthermore, testing these architectures strictly against state-of-the-art Time Series Foundation paradigms originating in early 2026 confirms that bespoke localized feature engineering easily matches and often drastically outperforms generalized massive transformer pipelines regarding absolute efficiency and operational predictability.</w:t>
      </w:r>
    </w:p>
    <w:p w14:paraId="2774FE1D" w14:textId="77777777" w:rsidR="00E70013" w:rsidRDefault="00000000">
      <w:pPr>
        <w:pStyle w:val="BodyText"/>
      </w:pPr>
      <w:r>
        <w:t>The system ensures robust real-time operational capacities, functionally replacing reactive estimation biases with proactive machine-learned foresight seamlessly serving its decision dashboard infrastructure.</w:t>
      </w:r>
      <w:bookmarkEnd w:id="0"/>
      <w:bookmarkEnd w:id="20"/>
    </w:p>
    <w:sectPr w:rsidR="00E700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2602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B64A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DA6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4229357">
    <w:abstractNumId w:val="0"/>
  </w:num>
  <w:num w:numId="2" w16cid:durableId="1011644893">
    <w:abstractNumId w:val="1"/>
  </w:num>
  <w:num w:numId="3" w16cid:durableId="309794171">
    <w:abstractNumId w:val="1"/>
  </w:num>
  <w:num w:numId="4" w16cid:durableId="1488858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1566789">
    <w:abstractNumId w:val="1"/>
  </w:num>
  <w:num w:numId="6" w16cid:durableId="986475735">
    <w:abstractNumId w:val="1"/>
  </w:num>
  <w:num w:numId="7" w16cid:durableId="1422751538">
    <w:abstractNumId w:val="1"/>
  </w:num>
  <w:num w:numId="8" w16cid:durableId="424034015">
    <w:abstractNumId w:val="1"/>
  </w:num>
  <w:num w:numId="9" w16cid:durableId="1247376181">
    <w:abstractNumId w:val="1"/>
  </w:num>
  <w:num w:numId="10" w16cid:durableId="688338927">
    <w:abstractNumId w:val="1"/>
  </w:num>
  <w:num w:numId="11" w16cid:durableId="1201360041">
    <w:abstractNumId w:val="1"/>
  </w:num>
  <w:num w:numId="12" w16cid:durableId="720130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0013"/>
    <w:rsid w:val="00364352"/>
    <w:rsid w:val="009D2314"/>
    <w:rsid w:val="00AF135A"/>
    <w:rsid w:val="00E445C6"/>
    <w:rsid w:val="00E70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5B99"/>
  <w15:docId w15:val="{5C3F38D0-8B5D-4E68-94CD-A60E01B3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364352"/>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2239</Words>
  <Characters>12767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TAHA MERCHANT - 70472300026</cp:lastModifiedBy>
  <cp:revision>2</cp:revision>
  <dcterms:created xsi:type="dcterms:W3CDTF">2026-04-17T19:24:00Z</dcterms:created>
  <dcterms:modified xsi:type="dcterms:W3CDTF">2026-04-17T19:54:00Z</dcterms:modified>
</cp:coreProperties>
</file>