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Spain Energy Forecasting: Model Validation and Testing Report</w:t>
      </w:r>
    </w:p>
    <w:p>
      <w:r>
        <w:t>This document contains a comprehensive visual and numerical analysis of the Day-Ahead Energy Consumption and Price Forecasting models. It contrasts the isolated Validation phase (Year 2025) with the final unseen Testing phase (Jan-Apr 2026).</w:t>
      </w:r>
    </w:p>
    <w:p>
      <w:pPr>
        <w:pStyle w:val="Heading1"/>
      </w:pPr>
      <w:r>
        <w:t>1. Validation Phase Analysis (Year 2025)</w:t>
      </w:r>
    </w:p>
    <w:p>
      <w:r>
        <w:t>The validation phase evaluated base algorithms (XGBoost, GRU, Random Forest, etc.) against 8,730 samples tracking structural trends.</w:t>
      </w:r>
    </w:p>
    <w:p>
      <w:pPr>
        <w:pStyle w:val="Heading2"/>
      </w:pPr>
      <w:r>
        <w:t>Metrics Comparison (Validation)</w:t>
      </w:r>
    </w:p>
    <w:p>
      <w:r>
        <w:drawing>
          <wp:inline xmlns:a="http://schemas.openxmlformats.org/drawingml/2006/main" xmlns:pic="http://schemas.openxmlformats.org/drawingml/2006/picture">
            <wp:extent cx="5486400" cy="3388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tric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graph compares RMSE, MAE, MAPE, and R² across all evaluated single architectures. It highlights XGBoost and GRU as leading structural models, with XGBoost achieving an exceptional 94.7% R² on Consumption predictions.</w:t>
      </w:r>
    </w:p>
    <w:p>
      <w:pPr>
        <w:pStyle w:val="Heading2"/>
      </w:pPr>
      <w:r>
        <w:t>Per-Hour Error Patterns (Validation)</w:t>
      </w:r>
    </w:p>
    <w:p>
      <w:r>
        <w:drawing>
          <wp:inline xmlns:a="http://schemas.openxmlformats.org/drawingml/2006/main" xmlns:pic="http://schemas.openxmlformats.org/drawingml/2006/picture">
            <wp:extent cx="5486400" cy="2037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urly_m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chart displays the average Mean Absolute Percentage Error (MAPE) broken down by the 24 hours of the day. Peak hours (14:00-16:00) demonstrate high predictability (~2.2% error), while morning ramp-ups (05:00-08:00) exhibit higher volatility.</w:t>
      </w:r>
    </w:p>
    <w:p>
      <w:pPr>
        <w:pStyle w:val="Heading2"/>
      </w:pPr>
      <w:r>
        <w:t>Residuals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879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idual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Error histograms and Q-Q plots visualizing prediction errors. Normalizing residual distribution is key to assuring no structural biases exist in the forecasting algorithm.</w:t>
      </w:r>
    </w:p>
    <w:p>
      <w:pPr>
        <w:pStyle w:val="Heading2"/>
      </w:pPr>
      <w:r>
        <w:t>Binned Accuracy Heatmap (Validation)</w:t>
      </w:r>
    </w:p>
    <w:p>
      <w:r>
        <w:drawing>
          <wp:inline xmlns:a="http://schemas.openxmlformats.org/drawingml/2006/main" xmlns:pic="http://schemas.openxmlformats.org/drawingml/2006/picture">
            <wp:extent cx="5486400" cy="3131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nned_accurac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Treats the regression output as classification by grouping predictions into Low, Medium, and High bounds. This heatmap shows the model excels (up to 90.82% accuracy) at securely identifying medium-range consumption.</w:t>
      </w:r>
    </w:p>
    <w:p>
      <w:pPr>
        <w:pStyle w:val="Heading2"/>
      </w:pPr>
      <w:r>
        <w:t>Time Series Overlay (Validation)</w:t>
      </w:r>
    </w:p>
    <w:p>
      <w:r>
        <w:drawing>
          <wp:inline xmlns:a="http://schemas.openxmlformats.org/drawingml/2006/main" xmlns:pic="http://schemas.openxmlformats.org/drawingml/2006/picture">
            <wp:extent cx="5486400" cy="2037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dicted_vs_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Direct sequence comparison charting predicted matrices versus real ENTSO-E actuals. Highlights the ability to map weekend dips and seasonal consumption drops accurately.</w:t>
      </w:r>
    </w:p>
    <w:p>
      <w:r>
        <w:br w:type="page"/>
      </w:r>
    </w:p>
    <w:p>
      <w:pPr>
        <w:pStyle w:val="Heading1"/>
      </w:pPr>
      <w:r>
        <w:t>2. Testing Phase Analysis (Jan-Apr 2026)</w:t>
      </w:r>
    </w:p>
    <w:p>
      <w:r>
        <w:t>The test phase introduces the weighted Ensemble architecture (combining XGBoost, GRU, and RF) and scores it against 2,412 entirely unseen scenarios to guarantee robust production capacity.</w:t>
      </w:r>
    </w:p>
    <w:p>
      <w:pPr>
        <w:pStyle w:val="Heading2"/>
      </w:pPr>
      <w:r>
        <w:t>Metrics Comparison (Test Phase)</w:t>
      </w:r>
    </w:p>
    <w:p>
      <w:r>
        <w:drawing>
          <wp:inline xmlns:a="http://schemas.openxmlformats.org/drawingml/2006/main" xmlns:pic="http://schemas.openxmlformats.org/drawingml/2006/picture">
            <wp:extent cx="5486400" cy="3388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1_metrics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Comparative bar chart confirming the Ensemble's superiority over standalone models natively on testing data. The Ensemble achieves the lowest RMSE (1726.51 MW for consumption, 24.34 €/MWh for price).</w:t>
      </w:r>
    </w:p>
    <w:p>
      <w:pPr>
        <w:pStyle w:val="Heading2"/>
      </w:pPr>
      <w:r>
        <w:t>Binned Accuracy Heatmap (Test Phase)</w:t>
      </w:r>
    </w:p>
    <w:p>
      <w:r>
        <w:drawing>
          <wp:inline xmlns:a="http://schemas.openxmlformats.org/drawingml/2006/main" xmlns:pic="http://schemas.openxmlformats.org/drawingml/2006/picture">
            <wp:extent cx="5486400" cy="20903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2_binned_accurac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Evaluates the robustness of categorical bounds forecasting (Low/Medium/High). The ensemble categorizations achieve up to 96.9% accuracy for establishing lower-bound consumption tiers.</w:t>
      </w:r>
    </w:p>
    <w:p>
      <w:pPr>
        <w:pStyle w:val="Heading2"/>
      </w:pPr>
      <w:r>
        <w:t>Per-Hour Error Patterns (Test Phase)</w:t>
      </w:r>
    </w:p>
    <w:p>
      <w:r>
        <w:drawing>
          <wp:inline xmlns:a="http://schemas.openxmlformats.org/drawingml/2006/main" xmlns:pic="http://schemas.openxmlformats.org/drawingml/2006/picture">
            <wp:extent cx="5486400" cy="20389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3_hourly_ma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Maps error variations dynamically on test observations. By averaging XGBoost and GRU, the ensemble distinctly bridges their volatility gaps, producing the most stable continuous error curve across all 24 hours.</w:t>
      </w:r>
    </w:p>
    <w:p>
      <w:pPr>
        <w:pStyle w:val="Heading2"/>
      </w:pPr>
      <w:r>
        <w:t>Ensemble vs Best Base Model</w:t>
      </w:r>
    </w:p>
    <w:p>
      <w:r>
        <w:drawing>
          <wp:inline xmlns:a="http://schemas.openxmlformats.org/drawingml/2006/main" xmlns:pic="http://schemas.openxmlformats.org/drawingml/2006/picture">
            <wp:extent cx="5486400" cy="20389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4_ensemble_vs_b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Time series overlay showcasing the first 500 samples of the test sequence. Crucially visualizes how the Ensemble dynamically smooths extreme stochastic spikes where standalone models either over-predict or under-react.</w:t>
      </w:r>
    </w:p>
    <w:p>
      <w:pPr>
        <w:pStyle w:val="Heading1"/>
      </w:pPr>
      <w:r>
        <w:t>Conclusion</w:t>
      </w:r>
    </w:p>
    <w:p>
      <w:r>
        <w:t>Overall, the Testing Phase clearly demonstrates the superiority of the weighted Ensemble approach. While XGBoost provided a robust baseline (87.96% R² for consumption on testing), the synergistic combination of XGBoost's nonlinear interactions, GRU's temporal sequence awareness, and Random Forest's feature stability pushed predictive confidence further, resulting in stable out-of-distribution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