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BC4" w:rsidRPr="00CC4900" w:rsidRDefault="00674BC4" w:rsidP="009779CA">
      <w:pPr>
        <w:pStyle w:val="2"/>
        <w:jc w:val="center"/>
      </w:pPr>
      <w:bookmarkStart w:id="0" w:name="_Toc430785328"/>
      <w:bookmarkStart w:id="1" w:name="_Toc431978968"/>
      <w:bookmarkStart w:id="2" w:name="_Toc437868134"/>
      <w:r w:rsidRPr="00CC4900">
        <w:t xml:space="preserve">1 </w:t>
      </w:r>
      <w:r w:rsidRPr="00CC4900">
        <w:rPr>
          <w:rFonts w:hAnsi="宋体"/>
        </w:rPr>
        <w:t>引言</w:t>
      </w:r>
      <w:bookmarkEnd w:id="0"/>
      <w:bookmarkEnd w:id="1"/>
      <w:bookmarkEnd w:id="2"/>
      <w:r w:rsidR="009779CA" w:rsidRPr="009779CA">
        <w:rPr>
          <w:rFonts w:hAnsi="宋体" w:hint="eastAsia"/>
          <w:color w:val="FF0000"/>
        </w:rPr>
        <w:t>(</w:t>
      </w:r>
      <w:r w:rsidR="009779CA" w:rsidRPr="009779CA">
        <w:rPr>
          <w:rFonts w:hAnsi="宋体" w:hint="eastAsia"/>
          <w:color w:val="FF0000"/>
        </w:rPr>
        <w:t>一级标题居中</w:t>
      </w:r>
      <w:r w:rsidR="009779CA">
        <w:rPr>
          <w:rFonts w:hAnsi="宋体" w:hint="eastAsia"/>
          <w:color w:val="FF0000"/>
        </w:rPr>
        <w:t>，数字后面有空格</w:t>
      </w:r>
      <w:r w:rsidR="009779CA" w:rsidRPr="009779CA">
        <w:rPr>
          <w:rFonts w:hAnsi="宋体" w:hint="eastAsia"/>
          <w:color w:val="FF0000"/>
        </w:rPr>
        <w:t>)</w:t>
      </w:r>
    </w:p>
    <w:p w:rsidR="00674BC4" w:rsidRPr="009779CA" w:rsidRDefault="00674BC4" w:rsidP="00674BC4">
      <w:pPr>
        <w:spacing w:line="360" w:lineRule="auto"/>
        <w:ind w:firstLineChars="200" w:firstLine="480"/>
        <w:rPr>
          <w:color w:val="FF0000"/>
          <w:sz w:val="24"/>
        </w:rPr>
      </w:pPr>
      <w:r w:rsidRPr="00CC4900">
        <w:rPr>
          <w:rFonts w:hAnsi="宋体"/>
          <w:sz w:val="24"/>
        </w:rPr>
        <w:t>金属纳米催化材料，尤其是金属纳米粒子，因具有显著的量子尺寸效应、表面界面效应、体积效应和宏观量子隧道效应</w:t>
      </w:r>
      <w:r w:rsidRPr="009779CA">
        <w:rPr>
          <w:color w:val="FF0000"/>
          <w:sz w:val="24"/>
          <w:vertAlign w:val="superscript"/>
        </w:rPr>
        <w:t>[1]</w:t>
      </w:r>
      <w:r w:rsidRPr="009779CA">
        <w:rPr>
          <w:rFonts w:hAnsi="宋体"/>
          <w:color w:val="FF0000"/>
          <w:sz w:val="24"/>
        </w:rPr>
        <w:t>，</w:t>
      </w:r>
      <w:r w:rsidRPr="00CC4900">
        <w:rPr>
          <w:rFonts w:hAnsi="宋体"/>
          <w:sz w:val="24"/>
        </w:rPr>
        <w:t>使其在催化、药物靶向运输、传输体系、疾病检测、生物标签、核磁共振成像以及光电学等领域具有广泛的应用</w:t>
      </w:r>
      <w:r w:rsidRPr="00CC4900">
        <w:rPr>
          <w:sz w:val="24"/>
          <w:vertAlign w:val="superscript"/>
        </w:rPr>
        <w:t xml:space="preserve"> </w:t>
      </w:r>
      <w:r w:rsidRPr="009779CA">
        <w:rPr>
          <w:color w:val="FF0000"/>
          <w:sz w:val="24"/>
          <w:vertAlign w:val="superscript"/>
        </w:rPr>
        <w:t>[2-5]</w:t>
      </w:r>
      <w:r w:rsidRPr="009779CA">
        <w:rPr>
          <w:rFonts w:hAnsi="宋体"/>
          <w:color w:val="FF0000"/>
          <w:sz w:val="24"/>
        </w:rPr>
        <w:t>。</w:t>
      </w:r>
      <w:r w:rsidRPr="00CC4900">
        <w:rPr>
          <w:rFonts w:hAnsi="宋体"/>
          <w:sz w:val="24"/>
        </w:rPr>
        <w:t>然而，金属纳米粒子体系具有很高的比表面能，有很强的聚集趋势</w:t>
      </w:r>
      <w:r w:rsidRPr="00CC4900">
        <w:rPr>
          <w:sz w:val="24"/>
          <w:vertAlign w:val="superscript"/>
        </w:rPr>
        <w:t>[6]</w:t>
      </w:r>
      <w:r w:rsidRPr="00CC4900">
        <w:rPr>
          <w:rFonts w:hAnsi="宋体"/>
          <w:sz w:val="24"/>
        </w:rPr>
        <w:t>。金属纳米粒子之间的聚集现象容易导致体系所独有的性能显著降低，甚至消失，从而失去实际应用价值。因此，如何抑制金属纳米粒子的聚集是金属纳米粒子体系研究的关键问题。</w:t>
      </w:r>
      <w:r w:rsidR="009779CA" w:rsidRPr="009779CA">
        <w:rPr>
          <w:rFonts w:hAnsi="宋体" w:hint="eastAsia"/>
          <w:color w:val="FF0000"/>
          <w:sz w:val="24"/>
        </w:rPr>
        <w:t>（段落</w:t>
      </w:r>
      <w:r w:rsidR="009779CA" w:rsidRPr="009779CA">
        <w:rPr>
          <w:rFonts w:hAnsi="宋体" w:hint="eastAsia"/>
          <w:color w:val="FF0000"/>
          <w:sz w:val="24"/>
        </w:rPr>
        <w:t>1.5</w:t>
      </w:r>
      <w:r w:rsidR="009779CA" w:rsidRPr="009779CA">
        <w:rPr>
          <w:rFonts w:hAnsi="宋体" w:hint="eastAsia"/>
          <w:color w:val="FF0000"/>
          <w:sz w:val="24"/>
        </w:rPr>
        <w:t>倍行间距，字体宋体小四，参考文献标注在标点符号里面，</w:t>
      </w:r>
      <w:r w:rsidR="009779CA">
        <w:rPr>
          <w:rFonts w:hAnsi="宋体" w:hint="eastAsia"/>
          <w:color w:val="FF0000"/>
          <w:sz w:val="24"/>
        </w:rPr>
        <w:t>中括号、数字全部采用英文格式，同时参考文献的标注和所引用参考文献要一致！</w:t>
      </w:r>
      <w:r w:rsidR="009779CA" w:rsidRPr="009779CA">
        <w:rPr>
          <w:rFonts w:hAnsi="宋体" w:hint="eastAsia"/>
          <w:color w:val="FF0000"/>
          <w:sz w:val="24"/>
        </w:rPr>
        <w:t>）</w:t>
      </w:r>
    </w:p>
    <w:p w:rsidR="00674BC4" w:rsidRPr="00CC4900" w:rsidRDefault="00674BC4" w:rsidP="00674BC4">
      <w:pPr>
        <w:spacing w:line="360" w:lineRule="auto"/>
        <w:ind w:firstLineChars="200" w:firstLine="480"/>
        <w:rPr>
          <w:sz w:val="24"/>
        </w:rPr>
      </w:pPr>
      <w:r w:rsidRPr="00CC4900">
        <w:rPr>
          <w:rFonts w:hAnsi="宋体"/>
          <w:sz w:val="24"/>
        </w:rPr>
        <w:t>将高分子化合物引入金属纳米材料的制备和应用是现今人们关注的课题之一。早在上世纪</w:t>
      </w:r>
      <w:r w:rsidRPr="00CC4900">
        <w:rPr>
          <w:sz w:val="24"/>
        </w:rPr>
        <w:t>70</w:t>
      </w:r>
      <w:r w:rsidRPr="00CC4900">
        <w:rPr>
          <w:rFonts w:hAnsi="宋体"/>
          <w:sz w:val="24"/>
        </w:rPr>
        <w:t>年代，研究工作者已经尝试将高分子化合物引入催化材料的设计和制备中</w:t>
      </w:r>
      <w:r w:rsidRPr="007520A8">
        <w:rPr>
          <w:color w:val="FF0000"/>
          <w:sz w:val="24"/>
          <w:vertAlign w:val="superscript"/>
        </w:rPr>
        <w:t>[7]</w:t>
      </w:r>
      <w:r w:rsidRPr="007520A8">
        <w:rPr>
          <w:rFonts w:hAnsi="宋体"/>
          <w:color w:val="FF0000"/>
          <w:sz w:val="24"/>
        </w:rPr>
        <w:t>。</w:t>
      </w:r>
      <w:r w:rsidRPr="00CC4900">
        <w:rPr>
          <w:rFonts w:hAnsi="宋体"/>
          <w:sz w:val="24"/>
        </w:rPr>
        <w:t>最近，英国知名杂志</w:t>
      </w:r>
      <w:r w:rsidRPr="00CC4900">
        <w:rPr>
          <w:sz w:val="24"/>
        </w:rPr>
        <w:t>Chemical Society Reviews</w:t>
      </w:r>
      <w:r w:rsidRPr="00CC4900">
        <w:rPr>
          <w:rFonts w:hAnsi="宋体"/>
          <w:sz w:val="24"/>
        </w:rPr>
        <w:t>全面介绍了该研究领域取得的最新研究进展</w:t>
      </w:r>
      <w:r w:rsidRPr="00CC4900">
        <w:rPr>
          <w:sz w:val="24"/>
          <w:vertAlign w:val="superscript"/>
        </w:rPr>
        <w:t>[8]</w:t>
      </w:r>
      <w:r w:rsidRPr="00CC4900">
        <w:rPr>
          <w:rFonts w:hAnsi="宋体"/>
          <w:sz w:val="24"/>
        </w:rPr>
        <w:t>。高分子化合物的引入可将金属纳米粒子固定在特定载体之上，或者使它们之间产生静电排斥力，亦或利用空间位阻排斥力达到稳定金属纳米粒子的目的，提高催化剂的分散性，控制催化材料的纳米尺度，进而提高其催化活性。其次，高分子化合物的引入抑制金属纳米粒子聚集现象的发生，使其稳定性也有明显提高。最后，将高分子化合物引入金属纳米粒子催化体系，还可巧妙地利用高分子化合物特殊结构或性质，例如三维结构以及自组装、亲疏水、表面电荷性质等，实现对催化底物的选择性催化或者可控催化。因而，将高分子化合物引入金属催化剂的制备和应用，无疑具有重要的科学意义和广阔的应用前景。</w:t>
      </w:r>
    </w:p>
    <w:p w:rsidR="00674BC4" w:rsidRPr="009779CA" w:rsidRDefault="00674BC4" w:rsidP="00674BC4">
      <w:pPr>
        <w:pStyle w:val="2"/>
        <w:rPr>
          <w:color w:val="FF0000"/>
        </w:rPr>
      </w:pPr>
      <w:bookmarkStart w:id="3" w:name="_Toc430785329"/>
      <w:bookmarkStart w:id="4" w:name="_Toc431978969"/>
      <w:bookmarkStart w:id="5" w:name="_Toc437868135"/>
      <w:r w:rsidRPr="00CC4900">
        <w:t>1.</w:t>
      </w:r>
      <w:r w:rsidR="009779CA">
        <w:rPr>
          <w:rFonts w:hint="eastAsia"/>
        </w:rPr>
        <w:t>1</w:t>
      </w:r>
      <w:r w:rsidRPr="00CC4900">
        <w:t xml:space="preserve"> </w:t>
      </w:r>
      <w:r w:rsidRPr="00CC4900">
        <w:rPr>
          <w:rFonts w:hAnsi="宋体"/>
        </w:rPr>
        <w:t>高分子基</w:t>
      </w:r>
      <w:bookmarkStart w:id="6" w:name="OLE_LINK87"/>
      <w:bookmarkStart w:id="7" w:name="OLE_LINK88"/>
      <w:r w:rsidRPr="00CC4900">
        <w:rPr>
          <w:rFonts w:hAnsi="宋体"/>
        </w:rPr>
        <w:t>金属</w:t>
      </w:r>
      <w:bookmarkStart w:id="8" w:name="OLE_LINK94"/>
      <w:bookmarkStart w:id="9" w:name="OLE_LINK107"/>
      <w:r w:rsidRPr="00CC4900">
        <w:rPr>
          <w:rFonts w:hAnsi="宋体"/>
        </w:rPr>
        <w:t>纳米催化</w:t>
      </w:r>
      <w:bookmarkEnd w:id="6"/>
      <w:bookmarkEnd w:id="7"/>
      <w:r w:rsidRPr="00CC4900">
        <w:rPr>
          <w:rFonts w:hAnsi="宋体"/>
        </w:rPr>
        <w:t>材料</w:t>
      </w:r>
      <w:bookmarkEnd w:id="8"/>
      <w:bookmarkEnd w:id="9"/>
      <w:r w:rsidRPr="00CC4900">
        <w:rPr>
          <w:rFonts w:hAnsi="宋体"/>
        </w:rPr>
        <w:t>的主要类型</w:t>
      </w:r>
      <w:bookmarkEnd w:id="3"/>
      <w:bookmarkEnd w:id="4"/>
      <w:bookmarkEnd w:id="5"/>
      <w:r w:rsidR="009779CA" w:rsidRPr="009779CA">
        <w:rPr>
          <w:rFonts w:hAnsi="宋体" w:hint="eastAsia"/>
          <w:color w:val="FF0000"/>
        </w:rPr>
        <w:t>（二级标题左对齐）</w:t>
      </w:r>
    </w:p>
    <w:p w:rsidR="00674BC4" w:rsidRPr="00CC4900" w:rsidRDefault="00674BC4" w:rsidP="00674BC4">
      <w:pPr>
        <w:spacing w:line="360" w:lineRule="auto"/>
        <w:ind w:firstLineChars="200" w:firstLine="480"/>
        <w:rPr>
          <w:sz w:val="24"/>
        </w:rPr>
      </w:pPr>
      <w:r w:rsidRPr="00CC4900">
        <w:rPr>
          <w:rFonts w:hAnsi="宋体"/>
          <w:sz w:val="24"/>
        </w:rPr>
        <w:t>通常，将高分子化合物应用于金属纳米催材料，主要目的是利用高分子化合物的负载和分散作用使金属纳米粒子更加稳定，同时具有更多的活性位点。高分子基金属纳米催化材料的类型主要分为两种：（</w:t>
      </w:r>
      <w:r w:rsidRPr="00CC4900">
        <w:rPr>
          <w:sz w:val="24"/>
        </w:rPr>
        <w:t>1</w:t>
      </w:r>
      <w:r w:rsidRPr="00CC4900">
        <w:rPr>
          <w:rFonts w:hAnsi="宋体"/>
          <w:sz w:val="24"/>
        </w:rPr>
        <w:t>）高分子单独负载金属纳米催化剂和（</w:t>
      </w:r>
      <w:r w:rsidRPr="00CC4900">
        <w:rPr>
          <w:sz w:val="24"/>
        </w:rPr>
        <w:t>2</w:t>
      </w:r>
      <w:r w:rsidRPr="00CC4900">
        <w:rPr>
          <w:rFonts w:hAnsi="宋体"/>
          <w:sz w:val="24"/>
        </w:rPr>
        <w:t>）高分子复合材料负载金属纳米催化剂。下面将简要介绍高分子基金属纳米催化材料的设计和制备方法，并总结高分子基金属纳米催化材料的设计思路。</w:t>
      </w:r>
    </w:p>
    <w:p w:rsidR="00674BC4" w:rsidRPr="00CC4900" w:rsidRDefault="00674BC4" w:rsidP="00674BC4">
      <w:pPr>
        <w:pStyle w:val="3"/>
        <w:spacing w:before="0" w:after="0" w:line="360" w:lineRule="auto"/>
        <w:jc w:val="left"/>
      </w:pPr>
      <w:bookmarkStart w:id="10" w:name="OLE_LINK132"/>
      <w:bookmarkStart w:id="11" w:name="_Toc430785330"/>
      <w:bookmarkStart w:id="12" w:name="_Toc431978970"/>
      <w:bookmarkStart w:id="13" w:name="_Toc437868136"/>
      <w:r w:rsidRPr="009779CA">
        <w:rPr>
          <w:rFonts w:eastAsia="黑体"/>
          <w:b w:val="0"/>
          <w:sz w:val="30"/>
        </w:rPr>
        <w:lastRenderedPageBreak/>
        <w:t>1.2.1</w:t>
      </w:r>
      <w:bookmarkEnd w:id="10"/>
      <w:r w:rsidRPr="009779CA">
        <w:rPr>
          <w:rFonts w:eastAsia="黑体"/>
          <w:b w:val="0"/>
          <w:sz w:val="30"/>
        </w:rPr>
        <w:t xml:space="preserve"> </w:t>
      </w:r>
      <w:bookmarkStart w:id="14" w:name="OLE_LINK86"/>
      <w:r w:rsidRPr="00CC4900">
        <w:rPr>
          <w:rFonts w:hAnsi="宋体"/>
        </w:rPr>
        <w:t>高分子</w:t>
      </w:r>
      <w:bookmarkStart w:id="15" w:name="OLE_LINK89"/>
      <w:bookmarkStart w:id="16" w:name="OLE_LINK90"/>
      <w:bookmarkEnd w:id="14"/>
      <w:r w:rsidRPr="00CC4900">
        <w:rPr>
          <w:rFonts w:hAnsi="宋体"/>
        </w:rPr>
        <w:t>负载</w:t>
      </w:r>
      <w:bookmarkEnd w:id="15"/>
      <w:bookmarkEnd w:id="16"/>
      <w:r w:rsidRPr="00CC4900">
        <w:rPr>
          <w:rFonts w:hAnsi="宋体"/>
        </w:rPr>
        <w:t>金属纳米催化剂</w:t>
      </w:r>
      <w:bookmarkEnd w:id="11"/>
      <w:bookmarkEnd w:id="12"/>
      <w:bookmarkEnd w:id="13"/>
    </w:p>
    <w:p w:rsidR="00674BC4" w:rsidRPr="00CC4900" w:rsidRDefault="00674BC4" w:rsidP="00674BC4">
      <w:pPr>
        <w:spacing w:line="360" w:lineRule="auto"/>
        <w:ind w:firstLineChars="200" w:firstLine="480"/>
        <w:jc w:val="left"/>
        <w:rPr>
          <w:sz w:val="24"/>
        </w:rPr>
      </w:pPr>
      <w:r w:rsidRPr="00CC4900">
        <w:rPr>
          <w:rFonts w:hAnsi="宋体"/>
          <w:sz w:val="24"/>
        </w:rPr>
        <w:t>以高分子化合物为载体制备高分子基金属纳米催化剂是一种重要的催化剂制备方法。通常，金属纳米催化剂可与高分子化合物末端或者骨架上的金属配位点相互作用，实现高分子化合物对金属纳米粒子的稳定作用，还可以通过调控高分子和金属纳米粒子的比例，调节金属活性组分的负载量。特别是可溶性高分子负载的金属纳米催化剂，其可利用高分子化合物的可溶性使金属纳米粒子高度分散于反应溶剂中，充分与底物分子接触，实现催化反应从多相催化变为更加高效的均相催化。目前，可作为催化剂载体的高分子化合物主要分为两大类，（</w:t>
      </w:r>
      <w:r w:rsidRPr="00CC4900">
        <w:rPr>
          <w:sz w:val="24"/>
        </w:rPr>
        <w:t>1</w:t>
      </w:r>
      <w:r w:rsidRPr="00CC4900">
        <w:rPr>
          <w:rFonts w:hAnsi="宋体"/>
          <w:sz w:val="24"/>
        </w:rPr>
        <w:t>）线性高分子：聚苯乙烯、聚乙二醇、聚乙烯基吡咯烷酮、聚丙烯酸盐、</w:t>
      </w:r>
      <w:bookmarkStart w:id="17" w:name="OLE_LINK11"/>
      <w:bookmarkStart w:id="18" w:name="OLE_LINK81"/>
      <w:r w:rsidRPr="00CC4900">
        <w:rPr>
          <w:rFonts w:hAnsi="宋体"/>
          <w:sz w:val="24"/>
        </w:rPr>
        <w:t>聚（</w:t>
      </w:r>
      <w:r w:rsidRPr="00CC4900">
        <w:rPr>
          <w:i/>
          <w:sz w:val="24"/>
        </w:rPr>
        <w:t>N</w:t>
      </w:r>
      <w:r w:rsidRPr="00CC4900">
        <w:rPr>
          <w:sz w:val="24"/>
        </w:rPr>
        <w:t>-</w:t>
      </w:r>
      <w:r w:rsidRPr="00CC4900">
        <w:rPr>
          <w:rFonts w:hAnsi="宋体"/>
          <w:sz w:val="24"/>
        </w:rPr>
        <w:t>异丙基丙烯酰胺</w:t>
      </w:r>
      <w:bookmarkEnd w:id="17"/>
      <w:bookmarkEnd w:id="18"/>
      <w:r w:rsidRPr="00CC4900">
        <w:rPr>
          <w:rFonts w:hAnsi="宋体"/>
          <w:sz w:val="24"/>
        </w:rPr>
        <w:t>）等</w:t>
      </w:r>
      <w:r w:rsidRPr="00CC4900">
        <w:rPr>
          <w:sz w:val="24"/>
          <w:vertAlign w:val="superscript"/>
        </w:rPr>
        <w:t>[9]</w:t>
      </w:r>
      <w:r w:rsidRPr="00CC4900">
        <w:rPr>
          <w:rFonts w:hAnsi="宋体"/>
          <w:sz w:val="24"/>
        </w:rPr>
        <w:t>；（</w:t>
      </w:r>
      <w:r w:rsidRPr="00CC4900">
        <w:rPr>
          <w:sz w:val="24"/>
        </w:rPr>
        <w:t>2</w:t>
      </w:r>
      <w:r w:rsidRPr="00CC4900">
        <w:rPr>
          <w:rFonts w:hAnsi="宋体"/>
          <w:sz w:val="24"/>
        </w:rPr>
        <w:t>）超支化或树枝状高分子：支化聚乙烯亚胺、超支化聚醚、超支化聚酯、树枝状聚（酰胺</w:t>
      </w:r>
      <w:r w:rsidRPr="00CC4900">
        <w:rPr>
          <w:sz w:val="24"/>
        </w:rPr>
        <w:t>-</w:t>
      </w:r>
      <w:r w:rsidRPr="00CC4900">
        <w:rPr>
          <w:rFonts w:hAnsi="宋体"/>
          <w:sz w:val="24"/>
        </w:rPr>
        <w:t>胺）等</w:t>
      </w:r>
      <w:r w:rsidRPr="00CC4900">
        <w:rPr>
          <w:sz w:val="24"/>
          <w:vertAlign w:val="superscript"/>
        </w:rPr>
        <w:t>[10]</w:t>
      </w:r>
      <w:r w:rsidRPr="00CC4900">
        <w:rPr>
          <w:rFonts w:hAnsi="宋体"/>
          <w:sz w:val="24"/>
        </w:rPr>
        <w:t>。其中，超支化或树枝状高分子因其独特的三维结构，所负载的金属纳米催化剂具有更好的可设计性，近年来已经得到迅速发展。</w:t>
      </w:r>
    </w:p>
    <w:p w:rsidR="00674BC4" w:rsidRPr="00CC4900" w:rsidRDefault="00674BC4" w:rsidP="00674BC4">
      <w:pPr>
        <w:spacing w:line="360" w:lineRule="auto"/>
        <w:ind w:firstLineChars="200" w:firstLine="480"/>
        <w:rPr>
          <w:sz w:val="24"/>
        </w:rPr>
      </w:pPr>
      <w:r w:rsidRPr="00CC4900">
        <w:rPr>
          <w:sz w:val="24"/>
        </w:rPr>
        <w:t>1977</w:t>
      </w:r>
      <w:r w:rsidRPr="00CC4900">
        <w:rPr>
          <w:rFonts w:hAnsi="宋体"/>
          <w:sz w:val="24"/>
        </w:rPr>
        <w:t>年，法国学者</w:t>
      </w:r>
      <w:r w:rsidRPr="00CC4900">
        <w:rPr>
          <w:sz w:val="24"/>
        </w:rPr>
        <w:t>Chauvin</w:t>
      </w:r>
      <w:r w:rsidRPr="007520A8">
        <w:rPr>
          <w:rFonts w:hAnsi="宋体"/>
          <w:color w:val="FF0000"/>
          <w:sz w:val="24"/>
        </w:rPr>
        <w:t>等</w:t>
      </w:r>
      <w:r w:rsidRPr="007520A8">
        <w:rPr>
          <w:color w:val="FF0000"/>
          <w:sz w:val="24"/>
          <w:vertAlign w:val="superscript"/>
        </w:rPr>
        <w:t>[7]</w:t>
      </w:r>
      <w:r w:rsidR="007520A8">
        <w:rPr>
          <w:rFonts w:hint="eastAsia"/>
          <w:color w:val="FF0000"/>
          <w:sz w:val="24"/>
        </w:rPr>
        <w:t>（作者姓名</w:t>
      </w:r>
      <w:r w:rsidR="007520A8">
        <w:rPr>
          <w:rFonts w:hint="eastAsia"/>
          <w:color w:val="FF0000"/>
          <w:sz w:val="24"/>
        </w:rPr>
        <w:t>+</w:t>
      </w:r>
      <w:r w:rsidR="007520A8">
        <w:rPr>
          <w:rFonts w:hint="eastAsia"/>
          <w:color w:val="FF0000"/>
          <w:sz w:val="24"/>
        </w:rPr>
        <w:t>等</w:t>
      </w:r>
      <w:r w:rsidR="007520A8">
        <w:rPr>
          <w:rFonts w:hint="eastAsia"/>
          <w:color w:val="FF0000"/>
          <w:sz w:val="24"/>
        </w:rPr>
        <w:t>+</w:t>
      </w:r>
      <w:r w:rsidR="007520A8">
        <w:rPr>
          <w:rFonts w:hint="eastAsia"/>
          <w:color w:val="FF0000"/>
          <w:sz w:val="24"/>
        </w:rPr>
        <w:t>参考文献标注）</w:t>
      </w:r>
      <w:r w:rsidRPr="00CC4900">
        <w:rPr>
          <w:rFonts w:hAnsi="宋体"/>
          <w:sz w:val="24"/>
        </w:rPr>
        <w:t>已经从金属与含</w:t>
      </w:r>
      <w:r w:rsidRPr="00CC4900">
        <w:rPr>
          <w:sz w:val="24"/>
        </w:rPr>
        <w:t>C</w:t>
      </w:r>
      <w:r w:rsidRPr="00CC4900">
        <w:rPr>
          <w:rFonts w:hAnsi="宋体"/>
          <w:sz w:val="24"/>
        </w:rPr>
        <w:t>、</w:t>
      </w:r>
      <w:r w:rsidRPr="00CC4900">
        <w:rPr>
          <w:sz w:val="24"/>
        </w:rPr>
        <w:t>P</w:t>
      </w:r>
      <w:r w:rsidRPr="00CC4900">
        <w:rPr>
          <w:rFonts w:hAnsi="宋体"/>
          <w:sz w:val="24"/>
        </w:rPr>
        <w:t>、</w:t>
      </w:r>
      <w:r w:rsidRPr="00CC4900">
        <w:rPr>
          <w:sz w:val="24"/>
        </w:rPr>
        <w:t>N</w:t>
      </w:r>
      <w:r w:rsidRPr="00CC4900">
        <w:rPr>
          <w:rFonts w:hAnsi="宋体"/>
          <w:sz w:val="24"/>
        </w:rPr>
        <w:t>或</w:t>
      </w:r>
      <w:r w:rsidRPr="00CC4900">
        <w:rPr>
          <w:sz w:val="24"/>
        </w:rPr>
        <w:t>O</w:t>
      </w:r>
      <w:r w:rsidRPr="00CC4900">
        <w:rPr>
          <w:rFonts w:hAnsi="宋体"/>
          <w:sz w:val="24"/>
        </w:rPr>
        <w:t>等配体角度综述了以高分子化合物为载体的催化剂。</w:t>
      </w:r>
      <w:r w:rsidRPr="00CC4900">
        <w:rPr>
          <w:sz w:val="24"/>
        </w:rPr>
        <w:t>2000</w:t>
      </w:r>
      <w:r w:rsidRPr="00CC4900">
        <w:rPr>
          <w:rFonts w:hAnsi="宋体"/>
          <w:sz w:val="24"/>
        </w:rPr>
        <w:t>年，</w:t>
      </w:r>
      <w:r w:rsidRPr="00CC4900">
        <w:rPr>
          <w:sz w:val="24"/>
        </w:rPr>
        <w:t>Mecking</w:t>
      </w:r>
      <w:r w:rsidRPr="00CC4900">
        <w:rPr>
          <w:rFonts w:hAnsi="宋体"/>
          <w:sz w:val="24"/>
        </w:rPr>
        <w:t>小组</w:t>
      </w:r>
      <w:r w:rsidRPr="00CC4900">
        <w:rPr>
          <w:sz w:val="24"/>
          <w:vertAlign w:val="superscript"/>
        </w:rPr>
        <w:t>[11]</w:t>
      </w:r>
      <w:r w:rsidRPr="00CC4900">
        <w:rPr>
          <w:rFonts w:hAnsi="宋体"/>
          <w:sz w:val="24"/>
        </w:rPr>
        <w:t>首先对超支化缩水甘油末端羟基进行烷基化修饰，再经过</w:t>
      </w:r>
      <w:r w:rsidRPr="00CC4900">
        <w:rPr>
          <w:sz w:val="24"/>
        </w:rPr>
        <w:t>Pd</w:t>
      </w:r>
      <w:r w:rsidRPr="00CC4900">
        <w:rPr>
          <w:rFonts w:hAnsi="宋体"/>
          <w:sz w:val="24"/>
        </w:rPr>
        <w:t>纳米粒子（</w:t>
      </w:r>
      <w:r w:rsidRPr="00CC4900">
        <w:rPr>
          <w:sz w:val="24"/>
        </w:rPr>
        <w:t>NPs</w:t>
      </w:r>
      <w:r w:rsidRPr="00CC4900">
        <w:rPr>
          <w:rFonts w:hAnsi="宋体"/>
          <w:sz w:val="24"/>
        </w:rPr>
        <w:t>）的负载过程制备</w:t>
      </w:r>
      <w:r w:rsidRPr="00CC4900">
        <w:rPr>
          <w:sz w:val="24"/>
        </w:rPr>
        <w:t>Pd NPs</w:t>
      </w:r>
      <w:r w:rsidRPr="00CC4900">
        <w:rPr>
          <w:rFonts w:hAnsi="宋体"/>
          <w:sz w:val="24"/>
        </w:rPr>
        <w:t>催化剂。其在催化加氢环己烯的反应中具有很好的活性和稳定性。同时，他们发现金属纳米粒子的尺寸可由超支化高分子的分子量调节。这是首次将两亲性超支化高分子用于金属纳米粒子制备的报道。随后，</w:t>
      </w:r>
      <w:r w:rsidRPr="00CC4900">
        <w:rPr>
          <w:sz w:val="24"/>
        </w:rPr>
        <w:t>Mecking</w:t>
      </w:r>
      <w:r w:rsidRPr="00CC4900">
        <w:rPr>
          <w:rFonts w:hAnsi="宋体"/>
          <w:sz w:val="24"/>
        </w:rPr>
        <w:t>小组报道</w:t>
      </w:r>
      <w:r w:rsidRPr="00CC4900">
        <w:rPr>
          <w:sz w:val="24"/>
          <w:vertAlign w:val="superscript"/>
        </w:rPr>
        <w:t>[12]</w:t>
      </w:r>
      <w:r w:rsidRPr="00CC4900">
        <w:rPr>
          <w:rFonts w:hAnsi="宋体"/>
          <w:sz w:val="24"/>
        </w:rPr>
        <w:t>利用超支化高分子内部的微环境包埋疏水性</w:t>
      </w:r>
      <w:r w:rsidRPr="00CC4900">
        <w:rPr>
          <w:sz w:val="24"/>
        </w:rPr>
        <w:t>Pt</w:t>
      </w:r>
      <w:r w:rsidRPr="00CC4900">
        <w:rPr>
          <w:rFonts w:hAnsi="宋体"/>
          <w:sz w:val="24"/>
        </w:rPr>
        <w:t>（</w:t>
      </w:r>
      <w:r w:rsidRPr="00CC4900">
        <w:rPr>
          <w:sz w:val="24"/>
        </w:rPr>
        <w:t>II</w:t>
      </w:r>
      <w:r w:rsidRPr="00CC4900">
        <w:rPr>
          <w:rFonts w:hAnsi="宋体"/>
          <w:sz w:val="24"/>
        </w:rPr>
        <w:t>）可实现均相催化。他们制备的两亲性烷基修饰的超支化聚醚与</w:t>
      </w:r>
      <w:r w:rsidRPr="00CC4900">
        <w:rPr>
          <w:sz w:val="24"/>
        </w:rPr>
        <w:t>Pt</w:t>
      </w:r>
      <w:r w:rsidRPr="00CC4900">
        <w:rPr>
          <w:rFonts w:hAnsi="宋体"/>
          <w:sz w:val="24"/>
        </w:rPr>
        <w:t>（</w:t>
      </w:r>
      <w:r w:rsidRPr="00CC4900">
        <w:rPr>
          <w:sz w:val="24"/>
        </w:rPr>
        <w:t>II</w:t>
      </w:r>
      <w:r w:rsidRPr="00CC4900">
        <w:rPr>
          <w:rFonts w:hAnsi="宋体"/>
          <w:sz w:val="24"/>
        </w:rPr>
        <w:t>）的螯合物，在迈克尔加成反应中具有很高的活性。实验结果表明，通过调整高分子分子量和</w:t>
      </w:r>
      <w:r w:rsidRPr="00CC4900">
        <w:rPr>
          <w:sz w:val="24"/>
        </w:rPr>
        <w:t>Pt</w:t>
      </w:r>
      <w:r w:rsidRPr="00CC4900">
        <w:rPr>
          <w:rFonts w:hAnsi="宋体"/>
          <w:sz w:val="24"/>
        </w:rPr>
        <w:t>（</w:t>
      </w:r>
      <w:r w:rsidRPr="00CC4900">
        <w:rPr>
          <w:sz w:val="24"/>
        </w:rPr>
        <w:t>II</w:t>
      </w:r>
      <w:r w:rsidRPr="00CC4900">
        <w:rPr>
          <w:rFonts w:hAnsi="宋体"/>
          <w:sz w:val="24"/>
        </w:rPr>
        <w:t>）配体的比例，可有效调控催化剂的催化效果。</w:t>
      </w:r>
    </w:p>
    <w:p w:rsidR="00674BC4" w:rsidRPr="00CC4900" w:rsidRDefault="00674BC4" w:rsidP="00674BC4">
      <w:pPr>
        <w:spacing w:line="360" w:lineRule="auto"/>
        <w:ind w:firstLineChars="200" w:firstLine="480"/>
        <w:rPr>
          <w:sz w:val="24"/>
        </w:rPr>
      </w:pPr>
      <w:r w:rsidRPr="007520A8">
        <w:rPr>
          <w:color w:val="FF0000"/>
          <w:sz w:val="24"/>
        </w:rPr>
        <w:t>Nabid</w:t>
      </w:r>
      <w:r w:rsidRPr="007520A8">
        <w:rPr>
          <w:rFonts w:hAnsi="宋体"/>
          <w:color w:val="FF0000"/>
          <w:sz w:val="24"/>
        </w:rPr>
        <w:t>等</w:t>
      </w:r>
      <w:r w:rsidRPr="007520A8">
        <w:rPr>
          <w:color w:val="FF0000"/>
          <w:sz w:val="24"/>
          <w:vertAlign w:val="superscript"/>
        </w:rPr>
        <w:t>[13]</w:t>
      </w:r>
      <w:r w:rsidRPr="00CC4900">
        <w:rPr>
          <w:rFonts w:hAnsi="宋体"/>
          <w:sz w:val="24"/>
        </w:rPr>
        <w:t>以超支化聚酯</w:t>
      </w:r>
      <w:r w:rsidRPr="00CC4900">
        <w:rPr>
          <w:sz w:val="24"/>
        </w:rPr>
        <w:t>Boltorn H40</w:t>
      </w:r>
      <w:r w:rsidRPr="00CC4900">
        <w:rPr>
          <w:rFonts w:hAnsi="宋体"/>
          <w:sz w:val="24"/>
        </w:rPr>
        <w:t>为大分子引发剂制备单分子胶束（</w:t>
      </w:r>
      <w:bookmarkStart w:id="19" w:name="OLE_LINK111"/>
      <w:bookmarkStart w:id="20" w:name="OLE_LINK113"/>
      <w:r w:rsidRPr="00CC4900">
        <w:rPr>
          <w:sz w:val="24"/>
        </w:rPr>
        <w:t>H40-PCL-PEG</w:t>
      </w:r>
      <w:bookmarkEnd w:id="19"/>
      <w:bookmarkEnd w:id="20"/>
      <w:r w:rsidRPr="00CC4900">
        <w:rPr>
          <w:rFonts w:hAnsi="宋体"/>
          <w:sz w:val="24"/>
        </w:rPr>
        <w:t>），并以此为载体制备</w:t>
      </w:r>
      <w:r w:rsidRPr="00CC4900">
        <w:rPr>
          <w:sz w:val="24"/>
        </w:rPr>
        <w:t>Pd@H40-PCL-PEG</w:t>
      </w:r>
      <w:r w:rsidRPr="00CC4900">
        <w:rPr>
          <w:rFonts w:hAnsi="宋体"/>
          <w:sz w:val="24"/>
        </w:rPr>
        <w:t>催化剂。催化实验结果表明，在室温</w:t>
      </w:r>
      <w:r w:rsidRPr="00CC4900">
        <w:rPr>
          <w:sz w:val="24"/>
        </w:rPr>
        <w:t>Heck</w:t>
      </w:r>
      <w:r w:rsidRPr="00CC4900">
        <w:rPr>
          <w:rFonts w:hAnsi="宋体"/>
          <w:sz w:val="24"/>
        </w:rPr>
        <w:t>偶联反应中所制备的催化剂展示出非常高的催化活性，并且经过几次的循环使用催化剂活性几乎没有下降。</w:t>
      </w:r>
    </w:p>
    <w:p w:rsidR="00674BC4" w:rsidRPr="00CC4900" w:rsidRDefault="00674BC4" w:rsidP="00674BC4">
      <w:pPr>
        <w:spacing w:line="360" w:lineRule="auto"/>
        <w:ind w:firstLineChars="200" w:firstLine="480"/>
        <w:rPr>
          <w:sz w:val="24"/>
        </w:rPr>
      </w:pPr>
      <w:r w:rsidRPr="00CC4900">
        <w:rPr>
          <w:rFonts w:hAnsi="宋体"/>
          <w:sz w:val="24"/>
        </w:rPr>
        <w:t>虽然高分子化合物的应用可以大幅提升催化剂的活性和稳定性，但是高昂的制备成本限制其进一步在工业中应用，因此，制备低成本的高分子基催化剂具有</w:t>
      </w:r>
      <w:r w:rsidRPr="00CC4900">
        <w:rPr>
          <w:rFonts w:hAnsi="宋体"/>
          <w:sz w:val="24"/>
        </w:rPr>
        <w:lastRenderedPageBreak/>
        <w:t>重要的应用价值。</w:t>
      </w:r>
      <w:r w:rsidRPr="00CC4900">
        <w:rPr>
          <w:sz w:val="24"/>
        </w:rPr>
        <w:t>Hemantha</w:t>
      </w:r>
      <w:r w:rsidRPr="00CC4900">
        <w:rPr>
          <w:rFonts w:hAnsi="宋体"/>
          <w:sz w:val="24"/>
        </w:rPr>
        <w:t>等</w:t>
      </w:r>
      <w:r w:rsidRPr="00CC4900">
        <w:rPr>
          <w:sz w:val="24"/>
          <w:vertAlign w:val="superscript"/>
        </w:rPr>
        <w:t>[14]</w:t>
      </w:r>
      <w:r w:rsidRPr="00CC4900">
        <w:rPr>
          <w:rFonts w:hAnsi="宋体"/>
          <w:sz w:val="24"/>
        </w:rPr>
        <w:t>以价格低廉的聚氯乙烯为催化剂载体制备了一种</w:t>
      </w:r>
      <w:r w:rsidRPr="00CC4900">
        <w:rPr>
          <w:sz w:val="24"/>
        </w:rPr>
        <w:t>Pd/</w:t>
      </w:r>
      <w:r w:rsidRPr="00CC4900">
        <w:rPr>
          <w:rFonts w:hAnsi="宋体"/>
          <w:sz w:val="24"/>
        </w:rPr>
        <w:t>聚氯乙烯催化剂。该催化剂在加氢还原硝基、叠氮、碳碳双键以及在有机合成过程中除去官能团的保护基团方面具有较高活性。这一结果为后继降低高分子基催化剂制备成本提供了很好的</w:t>
      </w:r>
      <w:bookmarkStart w:id="21" w:name="OLE_LINK225"/>
      <w:bookmarkStart w:id="22" w:name="OLE_LINK230"/>
      <w:r w:rsidRPr="00CC4900">
        <w:rPr>
          <w:rFonts w:hAnsi="宋体"/>
          <w:sz w:val="24"/>
        </w:rPr>
        <w:t>借鉴</w:t>
      </w:r>
      <w:bookmarkEnd w:id="21"/>
      <w:bookmarkEnd w:id="22"/>
      <w:r w:rsidRPr="00CC4900">
        <w:rPr>
          <w:rFonts w:hAnsi="宋体"/>
          <w:sz w:val="24"/>
        </w:rPr>
        <w:t>。</w:t>
      </w:r>
    </w:p>
    <w:p w:rsidR="00674BC4" w:rsidRPr="00CC4900" w:rsidRDefault="00674BC4" w:rsidP="00674BC4">
      <w:pPr>
        <w:spacing w:line="360" w:lineRule="auto"/>
        <w:jc w:val="center"/>
        <w:rPr>
          <w:sz w:val="24"/>
        </w:rPr>
      </w:pPr>
      <w:r>
        <w:rPr>
          <w:noProof/>
          <w:sz w:val="24"/>
        </w:rPr>
        <w:drawing>
          <wp:inline distT="0" distB="0" distL="0" distR="0">
            <wp:extent cx="4440555" cy="5112385"/>
            <wp:effectExtent l="1905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srcRect/>
                    <a:stretch>
                      <a:fillRect/>
                    </a:stretch>
                  </pic:blipFill>
                  <pic:spPr bwMode="auto">
                    <a:xfrm>
                      <a:off x="0" y="0"/>
                      <a:ext cx="4440555" cy="5112385"/>
                    </a:xfrm>
                    <a:prstGeom prst="rect">
                      <a:avLst/>
                    </a:prstGeom>
                    <a:noFill/>
                    <a:ln w="9525">
                      <a:noFill/>
                      <a:miter lim="800000"/>
                      <a:headEnd/>
                      <a:tailEnd/>
                    </a:ln>
                  </pic:spPr>
                </pic:pic>
              </a:graphicData>
            </a:graphic>
          </wp:inline>
        </w:drawing>
      </w:r>
    </w:p>
    <w:p w:rsidR="00674BC4" w:rsidRPr="007520A8" w:rsidRDefault="00674BC4" w:rsidP="00674BC4">
      <w:pPr>
        <w:spacing w:line="360" w:lineRule="auto"/>
        <w:jc w:val="center"/>
        <w:rPr>
          <w:color w:val="FF0000"/>
          <w:szCs w:val="21"/>
        </w:rPr>
      </w:pPr>
      <w:r w:rsidRPr="007520A8">
        <w:rPr>
          <w:rFonts w:hAnsi="宋体"/>
          <w:color w:val="FF0000"/>
          <w:szCs w:val="21"/>
        </w:rPr>
        <w:t>图</w:t>
      </w:r>
      <w:r w:rsidRPr="007520A8">
        <w:rPr>
          <w:color w:val="FF0000"/>
          <w:szCs w:val="21"/>
        </w:rPr>
        <w:t xml:space="preserve">1-1  </w:t>
      </w:r>
      <w:r w:rsidRPr="007520A8">
        <w:rPr>
          <w:rFonts w:hAnsi="宋体"/>
          <w:color w:val="FF0000"/>
          <w:szCs w:val="21"/>
        </w:rPr>
        <w:t>以不同烷</w:t>
      </w:r>
      <w:r w:rsidRPr="00CC4900">
        <w:rPr>
          <w:rFonts w:hAnsi="宋体"/>
          <w:szCs w:val="21"/>
        </w:rPr>
        <w:t>基修饰的两亲超支化高分子为模板和稳定剂制备有机溶解性</w:t>
      </w:r>
      <w:r w:rsidRPr="00CC4900">
        <w:rPr>
          <w:szCs w:val="21"/>
        </w:rPr>
        <w:t>Au NPs</w:t>
      </w:r>
      <w:r w:rsidRPr="00CC4900">
        <w:rPr>
          <w:rFonts w:hAnsi="宋体"/>
          <w:szCs w:val="21"/>
        </w:rPr>
        <w:t>示意图</w:t>
      </w:r>
      <w:r w:rsidRPr="00CC4900">
        <w:rPr>
          <w:sz w:val="24"/>
          <w:vertAlign w:val="superscript"/>
        </w:rPr>
        <w:t>[16]</w:t>
      </w:r>
      <w:r w:rsidR="007520A8">
        <w:rPr>
          <w:rFonts w:hint="eastAsia"/>
          <w:sz w:val="24"/>
        </w:rPr>
        <w:t xml:space="preserve"> </w:t>
      </w:r>
      <w:r w:rsidR="007520A8" w:rsidRPr="007520A8">
        <w:rPr>
          <w:rFonts w:hint="eastAsia"/>
          <w:color w:val="FF0000"/>
          <w:sz w:val="24"/>
        </w:rPr>
        <w:t>（中文图</w:t>
      </w:r>
      <w:r w:rsidR="007520A8" w:rsidRPr="007520A8">
        <w:rPr>
          <w:rFonts w:hint="eastAsia"/>
          <w:color w:val="FF0000"/>
          <w:sz w:val="24"/>
        </w:rPr>
        <w:t>1</w:t>
      </w:r>
      <w:r w:rsidR="007520A8" w:rsidRPr="007520A8">
        <w:rPr>
          <w:rFonts w:hint="eastAsia"/>
          <w:color w:val="FF0000"/>
          <w:sz w:val="24"/>
        </w:rPr>
        <w:t>后面有两个空格）</w:t>
      </w:r>
    </w:p>
    <w:p w:rsidR="007520A8" w:rsidRDefault="00674BC4" w:rsidP="007520A8">
      <w:pPr>
        <w:spacing w:line="360" w:lineRule="auto"/>
        <w:jc w:val="center"/>
        <w:rPr>
          <w:rFonts w:hint="eastAsia"/>
          <w:color w:val="FF0000"/>
          <w:sz w:val="24"/>
        </w:rPr>
      </w:pPr>
      <w:r w:rsidRPr="00CC4900">
        <w:rPr>
          <w:szCs w:val="21"/>
        </w:rPr>
        <w:t xml:space="preserve">Fig. 1 </w:t>
      </w:r>
      <w:bookmarkStart w:id="23" w:name="OLE_LINK8"/>
      <w:bookmarkStart w:id="24" w:name="OLE_LINK9"/>
      <w:r w:rsidRPr="00CC4900">
        <w:rPr>
          <w:szCs w:val="21"/>
        </w:rPr>
        <w:t>Illustration of the preparation of organo-soluble AuNPs using amphiphilic hyperbranched copolymers with different shell morphologies as the templates and stabilizers</w:t>
      </w:r>
      <w:bookmarkEnd w:id="23"/>
      <w:bookmarkEnd w:id="24"/>
      <w:r w:rsidRPr="00CC4900">
        <w:rPr>
          <w:sz w:val="24"/>
          <w:vertAlign w:val="superscript"/>
        </w:rPr>
        <w:t>[16]</w:t>
      </w:r>
      <w:r w:rsidR="007520A8">
        <w:rPr>
          <w:rFonts w:hint="eastAsia"/>
          <w:sz w:val="24"/>
        </w:rPr>
        <w:t xml:space="preserve"> </w:t>
      </w:r>
      <w:r w:rsidR="007520A8" w:rsidRPr="007520A8">
        <w:rPr>
          <w:rFonts w:hint="eastAsia"/>
          <w:color w:val="FF0000"/>
          <w:sz w:val="24"/>
        </w:rPr>
        <w:t>（</w:t>
      </w:r>
      <w:r w:rsidR="007520A8">
        <w:rPr>
          <w:rFonts w:hint="eastAsia"/>
          <w:color w:val="FF0000"/>
          <w:sz w:val="24"/>
        </w:rPr>
        <w:t>英文</w:t>
      </w:r>
      <w:r w:rsidR="007520A8">
        <w:rPr>
          <w:rFonts w:hint="eastAsia"/>
          <w:color w:val="FF0000"/>
          <w:sz w:val="24"/>
        </w:rPr>
        <w:t xml:space="preserve">Fig. </w:t>
      </w:r>
      <w:r w:rsidR="007520A8" w:rsidRPr="007520A8">
        <w:rPr>
          <w:rFonts w:hint="eastAsia"/>
          <w:color w:val="FF0000"/>
          <w:sz w:val="24"/>
        </w:rPr>
        <w:t>1</w:t>
      </w:r>
      <w:r w:rsidR="007520A8" w:rsidRPr="007520A8">
        <w:rPr>
          <w:rFonts w:hint="eastAsia"/>
          <w:color w:val="FF0000"/>
          <w:sz w:val="24"/>
        </w:rPr>
        <w:t>后面有</w:t>
      </w:r>
      <w:r w:rsidR="007520A8">
        <w:rPr>
          <w:rFonts w:hint="eastAsia"/>
          <w:color w:val="FF0000"/>
          <w:sz w:val="24"/>
        </w:rPr>
        <w:t>一</w:t>
      </w:r>
      <w:r w:rsidR="007520A8" w:rsidRPr="007520A8">
        <w:rPr>
          <w:rFonts w:hint="eastAsia"/>
          <w:color w:val="FF0000"/>
          <w:sz w:val="24"/>
        </w:rPr>
        <w:t>个空格）</w:t>
      </w:r>
    </w:p>
    <w:p w:rsidR="007520A8" w:rsidRPr="007520A8" w:rsidRDefault="007520A8" w:rsidP="007520A8">
      <w:pPr>
        <w:spacing w:line="360" w:lineRule="auto"/>
        <w:jc w:val="center"/>
        <w:rPr>
          <w:color w:val="FF0000"/>
          <w:szCs w:val="21"/>
        </w:rPr>
      </w:pPr>
    </w:p>
    <w:p w:rsidR="00674BC4" w:rsidRPr="007520A8" w:rsidRDefault="00674BC4" w:rsidP="00674BC4">
      <w:pPr>
        <w:spacing w:line="360" w:lineRule="auto"/>
        <w:jc w:val="center"/>
        <w:rPr>
          <w:szCs w:val="21"/>
        </w:rPr>
      </w:pPr>
    </w:p>
    <w:p w:rsidR="000D727F" w:rsidRDefault="000D727F" w:rsidP="00674BC4"/>
    <w:p w:rsidR="00674BC4" w:rsidRPr="00674BC4" w:rsidRDefault="00674BC4" w:rsidP="00674BC4">
      <w:pPr>
        <w:pStyle w:val="a7"/>
        <w:ind w:firstLine="0"/>
        <w:jc w:val="left"/>
        <w:rPr>
          <w:rFonts w:ascii="黑体" w:eastAsia="黑体" w:hAnsi="黑体" w:cs="黑体"/>
          <w:sz w:val="28"/>
          <w:szCs w:val="28"/>
        </w:rPr>
      </w:pPr>
      <w:r w:rsidRPr="00674BC4">
        <w:rPr>
          <w:rFonts w:ascii="黑体" w:eastAsia="黑体" w:hAnsi="黑体" w:cs="黑体" w:hint="eastAsia"/>
          <w:sz w:val="28"/>
          <w:szCs w:val="28"/>
        </w:rPr>
        <w:lastRenderedPageBreak/>
        <w:t>参考文献</w:t>
      </w:r>
    </w:p>
    <w:p w:rsidR="00674BC4" w:rsidRPr="00CC4900" w:rsidRDefault="00674BC4" w:rsidP="00674BC4">
      <w:pPr>
        <w:pStyle w:val="a6"/>
        <w:numPr>
          <w:ilvl w:val="0"/>
          <w:numId w:val="1"/>
        </w:numPr>
        <w:spacing w:line="360" w:lineRule="auto"/>
        <w:ind w:firstLineChars="0"/>
        <w:rPr>
          <w:rFonts w:ascii="Times New Roman" w:hAnsi="Times New Roman"/>
          <w:color w:val="auto"/>
          <w:sz w:val="21"/>
          <w:szCs w:val="21"/>
        </w:rPr>
      </w:pPr>
      <w:r w:rsidRPr="00CC4900">
        <w:rPr>
          <w:rFonts w:ascii="Times New Roman" w:hAnsi="Times New Roman"/>
          <w:color w:val="auto"/>
          <w:sz w:val="21"/>
          <w:szCs w:val="21"/>
        </w:rPr>
        <w:t>杨强，王立，向卫东等。金属纳米粒子聚合物体系的稳定性及其机理</w:t>
      </w:r>
      <w:r w:rsidRPr="00CC4900">
        <w:rPr>
          <w:rFonts w:ascii="Times New Roman" w:hAnsi="Times New Roman"/>
          <w:color w:val="auto"/>
          <w:sz w:val="21"/>
          <w:szCs w:val="21"/>
        </w:rPr>
        <w:t>[J]</w:t>
      </w:r>
      <w:r w:rsidRPr="00CC4900">
        <w:rPr>
          <w:rFonts w:ascii="Times New Roman" w:hAnsi="Times New Roman"/>
          <w:color w:val="auto"/>
          <w:sz w:val="21"/>
          <w:szCs w:val="21"/>
        </w:rPr>
        <w:t>。化学进展，</w:t>
      </w:r>
      <w:r w:rsidRPr="00CC4900">
        <w:rPr>
          <w:rFonts w:ascii="Times New Roman" w:hAnsi="Times New Roman"/>
          <w:color w:val="auto"/>
          <w:sz w:val="21"/>
          <w:szCs w:val="21"/>
        </w:rPr>
        <w:t>2006</w:t>
      </w:r>
      <w:r w:rsidRPr="00CC4900">
        <w:rPr>
          <w:rFonts w:ascii="Times New Roman" w:hAnsi="Times New Roman"/>
          <w:color w:val="auto"/>
          <w:sz w:val="21"/>
          <w:szCs w:val="21"/>
        </w:rPr>
        <w:t>，</w:t>
      </w:r>
      <w:r w:rsidRPr="00CC4900">
        <w:rPr>
          <w:rFonts w:ascii="Times New Roman" w:hAnsi="Times New Roman"/>
          <w:color w:val="auto"/>
          <w:sz w:val="21"/>
          <w:szCs w:val="21"/>
        </w:rPr>
        <w:t>18(2/3)</w:t>
      </w:r>
      <w:r w:rsidRPr="00CC4900">
        <w:rPr>
          <w:rFonts w:ascii="Times New Roman" w:hAnsi="Times New Roman"/>
          <w:color w:val="auto"/>
          <w:sz w:val="21"/>
          <w:szCs w:val="21"/>
        </w:rPr>
        <w:t>：</w:t>
      </w:r>
      <w:r w:rsidRPr="00CC4900">
        <w:rPr>
          <w:rFonts w:ascii="Times New Roman" w:hAnsi="Times New Roman"/>
          <w:color w:val="auto"/>
          <w:sz w:val="21"/>
          <w:szCs w:val="21"/>
        </w:rPr>
        <w:t>290-297.</w:t>
      </w:r>
    </w:p>
    <w:p w:rsidR="00674BC4" w:rsidRPr="00CC4900" w:rsidRDefault="00674BC4" w:rsidP="00674BC4">
      <w:pPr>
        <w:pStyle w:val="a6"/>
        <w:numPr>
          <w:ilvl w:val="0"/>
          <w:numId w:val="1"/>
        </w:numPr>
        <w:spacing w:line="360" w:lineRule="auto"/>
        <w:ind w:firstLineChars="0"/>
        <w:rPr>
          <w:rFonts w:ascii="Times New Roman" w:hAnsi="Times New Roman"/>
          <w:color w:val="auto"/>
          <w:sz w:val="21"/>
          <w:szCs w:val="21"/>
        </w:rPr>
      </w:pPr>
      <w:r w:rsidRPr="00CC4900">
        <w:rPr>
          <w:rFonts w:ascii="Times New Roman" w:hAnsi="Times New Roman"/>
          <w:color w:val="auto"/>
          <w:sz w:val="21"/>
          <w:szCs w:val="21"/>
        </w:rPr>
        <w:t xml:space="preserve">Crooks R M, Zhao M, Sun L, </w:t>
      </w:r>
      <w:r w:rsidRPr="00CC4900">
        <w:rPr>
          <w:rFonts w:ascii="Times New Roman" w:hAnsi="Times New Roman"/>
          <w:i/>
          <w:color w:val="auto"/>
          <w:sz w:val="21"/>
          <w:szCs w:val="21"/>
        </w:rPr>
        <w:t>et al</w:t>
      </w:r>
      <w:r w:rsidRPr="00CC4900">
        <w:rPr>
          <w:rFonts w:ascii="Times New Roman" w:hAnsi="Times New Roman"/>
          <w:color w:val="auto"/>
          <w:sz w:val="21"/>
          <w:szCs w:val="21"/>
        </w:rPr>
        <w:t>. Dendrimer-encapsulated metal nanoparticles: synthesis, characterization, and applications to catalysis[J]. Accounts of Chemical Research, 2001, 34(3): 181-190.</w:t>
      </w:r>
    </w:p>
    <w:p w:rsidR="00674BC4" w:rsidRPr="00CC4900" w:rsidRDefault="00674BC4" w:rsidP="00674BC4">
      <w:pPr>
        <w:pStyle w:val="a6"/>
        <w:numPr>
          <w:ilvl w:val="0"/>
          <w:numId w:val="1"/>
        </w:numPr>
        <w:spacing w:line="360" w:lineRule="auto"/>
        <w:ind w:firstLineChars="0"/>
        <w:rPr>
          <w:rFonts w:ascii="Times New Roman" w:hAnsi="Times New Roman"/>
          <w:color w:val="auto"/>
          <w:sz w:val="21"/>
          <w:szCs w:val="21"/>
        </w:rPr>
      </w:pPr>
      <w:r w:rsidRPr="00CC4900">
        <w:rPr>
          <w:rFonts w:ascii="Times New Roman" w:hAnsi="Times New Roman"/>
          <w:color w:val="auto"/>
          <w:sz w:val="21"/>
          <w:szCs w:val="21"/>
        </w:rPr>
        <w:t xml:space="preserve">Kou R, Shao Y, Mei D, </w:t>
      </w:r>
      <w:r w:rsidRPr="00CC4900">
        <w:rPr>
          <w:rFonts w:ascii="Times New Roman" w:hAnsi="Times New Roman"/>
          <w:i/>
          <w:color w:val="auto"/>
          <w:sz w:val="21"/>
          <w:szCs w:val="21"/>
        </w:rPr>
        <w:t>et al</w:t>
      </w:r>
      <w:r w:rsidRPr="00CC4900">
        <w:rPr>
          <w:rFonts w:ascii="Times New Roman" w:hAnsi="Times New Roman"/>
          <w:color w:val="auto"/>
          <w:sz w:val="21"/>
          <w:szCs w:val="21"/>
        </w:rPr>
        <w:t>. Stabilization of electrocatalytic metal nanoparticles at metal-metal oxide-graphene triple junction points[J]. Journal of the American Chemical Society, 2011, 133(8): 2541-2547.</w:t>
      </w:r>
    </w:p>
    <w:p w:rsidR="00674BC4" w:rsidRPr="00CC4900" w:rsidRDefault="00674BC4" w:rsidP="00674BC4">
      <w:pPr>
        <w:pStyle w:val="a6"/>
        <w:numPr>
          <w:ilvl w:val="0"/>
          <w:numId w:val="1"/>
        </w:numPr>
        <w:spacing w:line="360" w:lineRule="auto"/>
        <w:ind w:firstLineChars="0"/>
        <w:rPr>
          <w:rFonts w:ascii="Times New Roman" w:hAnsi="Times New Roman"/>
          <w:color w:val="auto"/>
          <w:sz w:val="21"/>
          <w:szCs w:val="21"/>
        </w:rPr>
      </w:pPr>
      <w:r w:rsidRPr="00CC4900">
        <w:rPr>
          <w:rFonts w:ascii="Times New Roman" w:hAnsi="Times New Roman"/>
          <w:color w:val="auto"/>
          <w:sz w:val="21"/>
          <w:szCs w:val="21"/>
        </w:rPr>
        <w:t>Virkutyte J, Varma R S. Green synthesis of metal nanoparticles: biodegradable polymers and enzymes in stabilization and surface functionalization[J]. Chemical Science, 2011, 2(5): 837-846.</w:t>
      </w:r>
    </w:p>
    <w:p w:rsidR="00674BC4" w:rsidRPr="00CC4900" w:rsidRDefault="00674BC4" w:rsidP="00674BC4">
      <w:pPr>
        <w:pStyle w:val="a6"/>
        <w:numPr>
          <w:ilvl w:val="0"/>
          <w:numId w:val="1"/>
        </w:numPr>
        <w:spacing w:line="360" w:lineRule="auto"/>
        <w:ind w:firstLineChars="0"/>
        <w:rPr>
          <w:rFonts w:ascii="Times New Roman" w:hAnsi="Times New Roman"/>
          <w:color w:val="auto"/>
          <w:sz w:val="21"/>
          <w:szCs w:val="21"/>
        </w:rPr>
      </w:pPr>
      <w:r w:rsidRPr="00CC4900">
        <w:rPr>
          <w:rFonts w:ascii="Times New Roman" w:hAnsi="Times New Roman"/>
          <w:color w:val="auto"/>
          <w:sz w:val="21"/>
          <w:szCs w:val="21"/>
        </w:rPr>
        <w:t>Otsuka H, Nagasaki Y, Kataoka K. PEGylated nanoparticles for biological and pharmaceutical applications[J]. Advanced Drug Delivery Reviews, 2012, 64: 246-255.</w:t>
      </w:r>
    </w:p>
    <w:p w:rsidR="00674BC4" w:rsidRPr="00CC4900" w:rsidRDefault="00674BC4" w:rsidP="00674BC4">
      <w:pPr>
        <w:pStyle w:val="a6"/>
        <w:numPr>
          <w:ilvl w:val="0"/>
          <w:numId w:val="1"/>
        </w:numPr>
        <w:spacing w:line="360" w:lineRule="auto"/>
        <w:ind w:firstLineChars="0"/>
        <w:rPr>
          <w:rFonts w:ascii="Times New Roman" w:hAnsi="Times New Roman"/>
          <w:color w:val="auto"/>
          <w:sz w:val="21"/>
          <w:szCs w:val="21"/>
        </w:rPr>
      </w:pPr>
      <w:r w:rsidRPr="00CC4900">
        <w:rPr>
          <w:rFonts w:ascii="Times New Roman" w:hAnsi="Times New Roman"/>
          <w:color w:val="auto"/>
          <w:sz w:val="21"/>
          <w:szCs w:val="21"/>
        </w:rPr>
        <w:t>Daniel M C, Astruc D. Gold nanoparticles: assembly, supramolecular chemistry, quantum-size-related properties, and applications toward biology, catalysis, and nanotechnology[J]. Chemical Reviews, 2004, 104(1): 293-346.</w:t>
      </w:r>
    </w:p>
    <w:p w:rsidR="00674BC4" w:rsidRPr="00674BC4" w:rsidRDefault="00674BC4" w:rsidP="00674BC4"/>
    <w:sectPr w:rsidR="00674BC4" w:rsidRPr="00674BC4" w:rsidSect="000D72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17E" w:rsidRDefault="008C117E" w:rsidP="00674BC4">
      <w:r>
        <w:separator/>
      </w:r>
    </w:p>
  </w:endnote>
  <w:endnote w:type="continuationSeparator" w:id="1">
    <w:p w:rsidR="008C117E" w:rsidRDefault="008C117E" w:rsidP="00674B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17E" w:rsidRDefault="008C117E" w:rsidP="00674BC4">
      <w:r>
        <w:separator/>
      </w:r>
    </w:p>
  </w:footnote>
  <w:footnote w:type="continuationSeparator" w:id="1">
    <w:p w:rsidR="008C117E" w:rsidRDefault="008C117E" w:rsidP="00674B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96CEA"/>
    <w:multiLevelType w:val="hybridMultilevel"/>
    <w:tmpl w:val="8D381DEC"/>
    <w:lvl w:ilvl="0" w:tplc="2ABE3524">
      <w:start w:val="1"/>
      <w:numFmt w:val="decimal"/>
      <w:suff w:val="space"/>
      <w:lvlText w:val="[%1]"/>
      <w:lvlJc w:val="left"/>
      <w:pPr>
        <w:ind w:left="420" w:hanging="420"/>
      </w:pPr>
      <w:rPr>
        <w:rFonts w:ascii="Times New Roman" w:hAnsi="Times New Roman" w:cs="Times New Roman" w:hint="default"/>
        <w:strike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4BC4"/>
    <w:rsid w:val="000D727F"/>
    <w:rsid w:val="00674BC4"/>
    <w:rsid w:val="007520A8"/>
    <w:rsid w:val="008C117E"/>
    <w:rsid w:val="009779CA"/>
    <w:rsid w:val="00D165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6"/>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4BC4"/>
    <w:pPr>
      <w:widowControl w:val="0"/>
      <w:jc w:val="both"/>
    </w:pPr>
    <w:rPr>
      <w:rFonts w:ascii="Times New Roman" w:eastAsia="宋体" w:hAnsi="Times New Roman" w:cs="Times New Roman"/>
      <w:szCs w:val="24"/>
    </w:rPr>
  </w:style>
  <w:style w:type="paragraph" w:styleId="2">
    <w:name w:val="heading 2"/>
    <w:basedOn w:val="a"/>
    <w:next w:val="a"/>
    <w:link w:val="2Char"/>
    <w:uiPriority w:val="99"/>
    <w:qFormat/>
    <w:rsid w:val="00674BC4"/>
    <w:pPr>
      <w:keepNext/>
      <w:keepLines/>
      <w:spacing w:line="360" w:lineRule="auto"/>
      <w:jc w:val="left"/>
      <w:outlineLvl w:val="1"/>
    </w:pPr>
    <w:rPr>
      <w:rFonts w:eastAsia="黑体"/>
      <w:bCs/>
      <w:sz w:val="30"/>
      <w:szCs w:val="32"/>
    </w:rPr>
  </w:style>
  <w:style w:type="paragraph" w:styleId="3">
    <w:name w:val="heading 3"/>
    <w:basedOn w:val="a"/>
    <w:next w:val="a"/>
    <w:link w:val="3Char"/>
    <w:uiPriority w:val="99"/>
    <w:unhideWhenUsed/>
    <w:qFormat/>
    <w:rsid w:val="00674B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4B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4BC4"/>
    <w:rPr>
      <w:sz w:val="18"/>
      <w:szCs w:val="18"/>
    </w:rPr>
  </w:style>
  <w:style w:type="paragraph" w:styleId="a4">
    <w:name w:val="footer"/>
    <w:basedOn w:val="a"/>
    <w:link w:val="Char0"/>
    <w:uiPriority w:val="99"/>
    <w:semiHidden/>
    <w:unhideWhenUsed/>
    <w:rsid w:val="00674B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4BC4"/>
    <w:rPr>
      <w:sz w:val="18"/>
      <w:szCs w:val="18"/>
    </w:rPr>
  </w:style>
  <w:style w:type="character" w:customStyle="1" w:styleId="2Char">
    <w:name w:val="标题 2 Char"/>
    <w:basedOn w:val="a0"/>
    <w:link w:val="2"/>
    <w:uiPriority w:val="99"/>
    <w:rsid w:val="00674BC4"/>
    <w:rPr>
      <w:rFonts w:ascii="Times New Roman" w:eastAsia="黑体" w:hAnsi="Times New Roman" w:cs="Times New Roman"/>
      <w:bCs/>
      <w:sz w:val="30"/>
      <w:szCs w:val="32"/>
    </w:rPr>
  </w:style>
  <w:style w:type="character" w:customStyle="1" w:styleId="3Char">
    <w:name w:val="标题 3 Char"/>
    <w:basedOn w:val="a0"/>
    <w:link w:val="3"/>
    <w:uiPriority w:val="9"/>
    <w:semiHidden/>
    <w:rsid w:val="00674BC4"/>
    <w:rPr>
      <w:rFonts w:ascii="Times New Roman" w:eastAsia="宋体" w:hAnsi="Times New Roman" w:cs="Times New Roman"/>
      <w:b/>
      <w:bCs/>
      <w:sz w:val="32"/>
      <w:szCs w:val="32"/>
    </w:rPr>
  </w:style>
  <w:style w:type="paragraph" w:styleId="a5">
    <w:name w:val="Balloon Text"/>
    <w:basedOn w:val="a"/>
    <w:link w:val="Char1"/>
    <w:uiPriority w:val="99"/>
    <w:semiHidden/>
    <w:unhideWhenUsed/>
    <w:rsid w:val="00674BC4"/>
    <w:rPr>
      <w:sz w:val="18"/>
      <w:szCs w:val="18"/>
    </w:rPr>
  </w:style>
  <w:style w:type="character" w:customStyle="1" w:styleId="Char1">
    <w:name w:val="批注框文本 Char"/>
    <w:basedOn w:val="a0"/>
    <w:link w:val="a5"/>
    <w:uiPriority w:val="99"/>
    <w:semiHidden/>
    <w:rsid w:val="00674BC4"/>
    <w:rPr>
      <w:rFonts w:ascii="Times New Roman" w:eastAsia="宋体" w:hAnsi="Times New Roman" w:cs="Times New Roman"/>
      <w:sz w:val="18"/>
      <w:szCs w:val="18"/>
    </w:rPr>
  </w:style>
  <w:style w:type="paragraph" w:styleId="a6">
    <w:name w:val="List Paragraph"/>
    <w:basedOn w:val="a"/>
    <w:uiPriority w:val="34"/>
    <w:qFormat/>
    <w:rsid w:val="00674BC4"/>
    <w:pPr>
      <w:ind w:firstLineChars="200" w:firstLine="420"/>
    </w:pPr>
    <w:rPr>
      <w:rFonts w:ascii="Cambria" w:hAnsi="Cambria"/>
      <w:color w:val="4F81BD"/>
      <w:sz w:val="24"/>
    </w:rPr>
  </w:style>
  <w:style w:type="paragraph" w:styleId="a7">
    <w:name w:val="Body Text Indent"/>
    <w:basedOn w:val="a"/>
    <w:link w:val="Char2"/>
    <w:uiPriority w:val="6"/>
    <w:rsid w:val="00674BC4"/>
    <w:pPr>
      <w:ind w:firstLine="504"/>
    </w:pPr>
    <w:rPr>
      <w:color w:val="000000"/>
      <w:spacing w:val="6"/>
      <w:kern w:val="1"/>
      <w:sz w:val="24"/>
    </w:rPr>
  </w:style>
  <w:style w:type="character" w:customStyle="1" w:styleId="Char2">
    <w:name w:val="正文文本缩进 Char"/>
    <w:basedOn w:val="a0"/>
    <w:link w:val="a7"/>
    <w:uiPriority w:val="6"/>
    <w:rsid w:val="00674BC4"/>
    <w:rPr>
      <w:rFonts w:ascii="Times New Roman" w:eastAsia="宋体" w:hAnsi="Times New Roman" w:cs="Times New Roman"/>
      <w:color w:val="000000"/>
      <w:spacing w:val="6"/>
      <w:kern w:val="1"/>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2016-05-30T10:19:00Z</dcterms:created>
  <dcterms:modified xsi:type="dcterms:W3CDTF">2016-05-30T10:45:00Z</dcterms:modified>
</cp:coreProperties>
</file>