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4A" w:rsidRPr="00690E4A" w:rsidRDefault="00690E4A" w:rsidP="00690E4A">
      <w:pPr>
        <w:spacing w:after="0" w:line="24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агентство связи</w:t>
      </w:r>
    </w:p>
    <w:p w:rsidR="00690E4A" w:rsidRPr="00690E4A" w:rsidRDefault="00690E4A" w:rsidP="00690E4A">
      <w:pPr>
        <w:spacing w:after="0" w:line="24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90E4A" w:rsidRPr="00690E4A" w:rsidRDefault="00690E4A" w:rsidP="00690E4A">
      <w:pPr>
        <w:spacing w:after="0" w:line="24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«Сибирский государственный университет телекоммуникаций и информатики»</w:t>
      </w:r>
    </w:p>
    <w:p w:rsidR="00690E4A" w:rsidRPr="00690E4A" w:rsidRDefault="00690E4A" w:rsidP="00690E4A">
      <w:pPr>
        <w:spacing w:after="0" w:line="24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(СибГУТИ)</w:t>
      </w:r>
    </w:p>
    <w:p w:rsidR="00690E4A" w:rsidRPr="00690E4A" w:rsidRDefault="00690E4A" w:rsidP="00690E4A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90E4A" w:rsidRPr="00690E4A" w:rsidRDefault="00690E4A" w:rsidP="00690E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690E4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ОТЗЫВ</w:t>
      </w:r>
    </w:p>
    <w:p w:rsidR="00690E4A" w:rsidRDefault="00690E4A" w:rsidP="00536B8C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выпускную квалификационную работу  </w:t>
      </w:r>
      <w:r w:rsidR="00FC416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магистранта гр. МГ-171</w:t>
      </w:r>
      <w:r w:rsidRPr="00690E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31D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Анискиной А.Д</w:t>
      </w:r>
      <w:r w:rsidR="00FC416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536B8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 «</w:t>
      </w:r>
      <w:r w:rsidR="00D31D6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и анализ надёжности шифра Шеннона</w:t>
      </w:r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90E4A" w:rsidRPr="00690E4A" w:rsidRDefault="00690E4A" w:rsidP="00690E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166" w:rsidRDefault="00FC4166" w:rsidP="00690E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2016 году были теоретически описаны и строго доказаны свойства двух шифров Шеннона.</w:t>
      </w:r>
      <w:r w:rsidR="00D31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целью данной работы является исследование надёжности реализации одного из</w:t>
      </w:r>
      <w:r w:rsidR="00536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этих</w:t>
      </w:r>
      <w:r w:rsidR="00D31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 Шеннона для поточного шифрования данных, передаваемых по сети. Помимо теоретического обоснования надёжности шифра, одной из важнейших задач является доказательство надёжности его реализации, потому как уязвимости зачастую находятся именно в тех нюансах, которые отличают практическую реализацию от теории.</w:t>
      </w:r>
    </w:p>
    <w:p w:rsidR="00536B8C" w:rsidRDefault="00D31D63" w:rsidP="00690E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работы Анискиной А.Д. необходимо было выполнить масштабное исследование и проверку адаптации шифра Шеннона, нацеленной на возможность его применения на практике для поточного шифрования данных</w:t>
      </w:r>
      <w:r w:rsidR="00FC4166" w:rsidRPr="00FC41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6B8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автором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тояла задача изучить и применить к </w:t>
      </w:r>
      <w:r w:rsidR="00536B8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рассматриваемой реализации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известные в настоящее время атаки на поточные шифры, исследовать возможность других атак и постараться выявить уязвимости, либо параметры шифра,</w:t>
      </w:r>
      <w:r w:rsidR="00536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которых он наиболее уязвим.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6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требовалось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трудоёмкость взлома зашифрованных данных с учётом применени</w:t>
      </w:r>
      <w:r w:rsidR="00536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всех возможных атак и либо подтвердить его надёжность, либо предложить рекомендации по её повышению. </w:t>
      </w:r>
    </w:p>
    <w:p w:rsidR="00690E4A" w:rsidRPr="00FC4166" w:rsidRDefault="00536B8C" w:rsidP="00690E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Автором работы были выполнены все поставленные задачи, в результате была показана устойчивость шифра ко всем видам атак, исследованы и оценены различные параметры шифра.</w:t>
      </w:r>
    </w:p>
    <w:p w:rsidR="00690E4A" w:rsidRPr="00690E4A" w:rsidRDefault="00A876E5" w:rsidP="00690E4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Существенных замечаний к оформлению нет, все этапы работы выполнены в срок и на высоком уровне. По результатам проверки на сайте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antiplagiat</w:t>
      </w:r>
      <w:r w:rsidRPr="00A876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оригинальность работы составляет </w:t>
      </w:r>
      <w:r w:rsidR="00536B8C">
        <w:rPr>
          <w:rFonts w:ascii="Times New Roman" w:eastAsia="Times New Roman" w:hAnsi="Times New Roman" w:cs="Times New Roman"/>
          <w:sz w:val="28"/>
          <w:szCs w:val="28"/>
          <w:lang w:eastAsia="ru-RU"/>
        </w:rPr>
        <w:t>85,09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%, что полностью соответствует требованиям, предъявляемым к ВКР. Поэтому р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аботу магистранта </w:t>
      </w:r>
      <w:r w:rsidR="00536B8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Анискиной А.Д.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оцениваю на </w:t>
      </w:r>
      <w:r w:rsidR="00690E4A" w:rsidRPr="00A876E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«отлично»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рекомендую для публикации</w:t>
      </w:r>
      <w:r w:rsid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рецензируемом научном издании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Считаю, что </w:t>
      </w:r>
      <w:r w:rsidR="00536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Анискина А.Д. 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заслуживает присвоения квалификации «магистр» по направлению </w:t>
      </w:r>
      <w:r w:rsid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09.04.01 - 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«Информатика и вычисли</w:t>
      </w:r>
      <w:r w:rsid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536B8C">
        <w:rPr>
          <w:rFonts w:ascii="Times New Roman" w:eastAsia="Times New Roman" w:hAnsi="Times New Roman" w:cs="Times New Roman"/>
          <w:sz w:val="28"/>
          <w:szCs w:val="28"/>
          <w:lang w:eastAsia="ru-RU"/>
        </w:rPr>
        <w:t>ельная техника» и рекомендую её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поступления в аспирантуру.</w:t>
      </w:r>
    </w:p>
    <w:tbl>
      <w:tblPr>
        <w:tblW w:w="99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90"/>
        <w:gridCol w:w="5670"/>
        <w:gridCol w:w="992"/>
        <w:gridCol w:w="993"/>
        <w:gridCol w:w="815"/>
      </w:tblGrid>
      <w:tr w:rsidR="00690E4A" w:rsidRPr="00690E4A" w:rsidTr="00651ECA">
        <w:tc>
          <w:tcPr>
            <w:tcW w:w="7160" w:type="dxa"/>
            <w:gridSpan w:val="2"/>
            <w:vMerge w:val="restart"/>
            <w:vAlign w:val="center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Компетенции</w:t>
            </w:r>
          </w:p>
        </w:tc>
        <w:tc>
          <w:tcPr>
            <w:tcW w:w="2800" w:type="dxa"/>
            <w:gridSpan w:val="3"/>
            <w:vAlign w:val="center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сформированности</w:t>
            </w:r>
          </w:p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компетенций</w:t>
            </w:r>
          </w:p>
        </w:tc>
      </w:tr>
      <w:tr w:rsidR="00690E4A" w:rsidRPr="00690E4A" w:rsidTr="00651ECA">
        <w:tc>
          <w:tcPr>
            <w:tcW w:w="7160" w:type="dxa"/>
            <w:gridSpan w:val="2"/>
            <w:vMerge/>
            <w:vAlign w:val="center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690E4A" w:rsidRPr="00690E4A" w:rsidTr="00651ECA">
        <w:tc>
          <w:tcPr>
            <w:tcW w:w="1490" w:type="dxa"/>
            <w:vMerge w:val="restart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Общекультурные</w:t>
            </w:r>
          </w:p>
        </w:tc>
        <w:tc>
          <w:tcPr>
            <w:tcW w:w="5670" w:type="dxa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ОК-1 Способность совершенствовать и развивать свой интеллектуальный и общекультурный уровень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ОК-3 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к самостоятельному обучению новым методам исследования, к изменению научного и научно-производственного</w:t>
            </w:r>
          </w:p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профиля своей профессиональной деятельности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ОК-5 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Использование на практике умений и навыков в организации исследовательских и проектных работ, в управлении коллективом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ОК-6 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проявлять инициативу, в том числе в ситуациях риска, брать на себя всю полноту ответственности</w:t>
            </w:r>
          </w:p>
        </w:tc>
        <w:tc>
          <w:tcPr>
            <w:tcW w:w="992" w:type="dxa"/>
          </w:tcPr>
          <w:p w:rsidR="00690E4A" w:rsidRPr="00690E4A" w:rsidRDefault="0060752B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ОК-9 У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  <w:tc>
          <w:tcPr>
            <w:tcW w:w="992" w:type="dxa"/>
          </w:tcPr>
          <w:p w:rsidR="00690E4A" w:rsidRPr="00690E4A" w:rsidRDefault="00651EC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 w:val="restart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Общепрофессиональные</w:t>
            </w:r>
          </w:p>
        </w:tc>
        <w:tc>
          <w:tcPr>
            <w:tcW w:w="5670" w:type="dxa"/>
          </w:tcPr>
          <w:p w:rsidR="00690E4A" w:rsidRPr="00690E4A" w:rsidRDefault="00690E4A" w:rsidP="00690E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ОПК-3 С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пособность анализировать и оценивать уровни своих компетенций в сочетании со способностью и готовностью к саморегулированию дальнейшего образования и профессиональной мобильности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rPr>
          <w:trHeight w:val="961"/>
        </w:trPr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ОПК-5 В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ладение методами и средствами получения, хранения, переработки и трансляции информации посредством современныхкомпьютерных технологий, в том числе в глобальных компьютерных сетях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 w:val="restart"/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Профессиональные</w:t>
            </w:r>
          </w:p>
        </w:tc>
        <w:tc>
          <w:tcPr>
            <w:tcW w:w="5670" w:type="dxa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ПК-2 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знанием методов научных исследований и владение навыками их проведения</w:t>
            </w:r>
          </w:p>
        </w:tc>
        <w:tc>
          <w:tcPr>
            <w:tcW w:w="992" w:type="dxa"/>
          </w:tcPr>
          <w:p w:rsidR="00690E4A" w:rsidRPr="00690E4A" w:rsidRDefault="00651EC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ПК-7 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применением перспективных методов исследования и решения профессиональных задач на основе знания мировых тенденций</w:t>
            </w:r>
          </w:p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развития вычислительной техники и информационных технологий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rPr>
          <w:trHeight w:val="441"/>
        </w:trPr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ПК-17 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способностью к организации промышленного тестирования создаваемого программного обеспечения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90E4A" w:rsidRPr="00690E4A" w:rsidRDefault="00690E4A" w:rsidP="00690E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882" w:type="dxa"/>
        <w:tblInd w:w="-106" w:type="dxa"/>
        <w:tblLook w:val="01E0"/>
      </w:tblPr>
      <w:tblGrid>
        <w:gridCol w:w="4609"/>
        <w:gridCol w:w="567"/>
        <w:gridCol w:w="4139"/>
        <w:gridCol w:w="567"/>
      </w:tblGrid>
      <w:tr w:rsidR="00690E4A" w:rsidRPr="00690E4A" w:rsidTr="00C75ED6">
        <w:tc>
          <w:tcPr>
            <w:tcW w:w="4609" w:type="dxa"/>
            <w:tcBorders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 xml:space="preserve">Тема предложена предприятием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0E4A" w:rsidRPr="00690E4A" w:rsidTr="00C75ED6">
        <w:tc>
          <w:tcPr>
            <w:tcW w:w="4609" w:type="dxa"/>
            <w:tcBorders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Работа имеет теоретическую значимость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 xml:space="preserve">Тема предложена студентом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0E4A" w:rsidRPr="00690E4A" w:rsidTr="00C75ED6">
        <w:tc>
          <w:tcPr>
            <w:tcW w:w="4609" w:type="dxa"/>
            <w:tcBorders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Тема является 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90E4A" w:rsidRPr="00690E4A" w:rsidTr="00C75ED6">
        <w:tc>
          <w:tcPr>
            <w:tcW w:w="4609" w:type="dxa"/>
            <w:tcBorders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Рекомендую студента в 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90E4A" w:rsidRPr="00690E4A" w:rsidTr="00C75ED6">
        <w:tc>
          <w:tcPr>
            <w:tcW w:w="4609" w:type="dxa"/>
            <w:tcBorders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Работа выполнена в рамках гранта НИОКР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Имеются публикации по теме работы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</w:tbl>
    <w:p w:rsidR="00690E4A" w:rsidRPr="00690E4A" w:rsidRDefault="00690E4A" w:rsidP="00690E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0E4A" w:rsidRPr="00690E4A" w:rsidRDefault="00690E4A" w:rsidP="00690E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E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Доц. каф. ПМиК, к.т.н.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</w:t>
      </w:r>
      <w:r w:rsidRPr="00690E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Ракитский Антон Андреевич</w:t>
      </w:r>
    </w:p>
    <w:p w:rsidR="00690E4A" w:rsidRPr="00690E4A" w:rsidRDefault="00690E4A" w:rsidP="00690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E4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руководителя                     подпись                                   ФИО руководителя</w:t>
      </w:r>
    </w:p>
    <w:p w:rsidR="00F11D5C" w:rsidRPr="00690E4A" w:rsidRDefault="00F11D5C" w:rsidP="00690E4A"/>
    <w:sectPr w:rsidR="00F11D5C" w:rsidRPr="00690E4A" w:rsidSect="00150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690E4A"/>
    <w:rsid w:val="00011993"/>
    <w:rsid w:val="00150CBC"/>
    <w:rsid w:val="003648A0"/>
    <w:rsid w:val="00536B8C"/>
    <w:rsid w:val="0060752B"/>
    <w:rsid w:val="00651ECA"/>
    <w:rsid w:val="00690E4A"/>
    <w:rsid w:val="00694C64"/>
    <w:rsid w:val="00704063"/>
    <w:rsid w:val="00A876E5"/>
    <w:rsid w:val="00CF698B"/>
    <w:rsid w:val="00D31D63"/>
    <w:rsid w:val="00D7240B"/>
    <w:rsid w:val="00EA4648"/>
    <w:rsid w:val="00ED3D07"/>
    <w:rsid w:val="00F11D5C"/>
    <w:rsid w:val="00F555E1"/>
    <w:rsid w:val="00FC4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tornem@yandex.ru</dc:creator>
  <cp:lastModifiedBy>Антон Ракитский</cp:lastModifiedBy>
  <cp:revision>3</cp:revision>
  <dcterms:created xsi:type="dcterms:W3CDTF">2019-06-24T20:16:00Z</dcterms:created>
  <dcterms:modified xsi:type="dcterms:W3CDTF">2019-06-24T20:33:00Z</dcterms:modified>
</cp:coreProperties>
</file>