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GoPhishFree - Sprint 2 Requirements</w:t>
      </w:r>
    </w:p>
    <w:p>
      <w:r>
        <w:t>Project: GoPhishFree - AI-Powered Phishing Detection Chrome Extension</w:t>
      </w:r>
    </w:p>
    <w:p>
      <w:r>
        <w:t>Team: Ty Farrington, Andrew Reyes, Brett Suhr, Nicholas Holmes, Kaleb Howard</w:t>
      </w:r>
    </w:p>
    <w:p>
      <w:r>
        <w:t>Sprint Period: February 9 - February 22, 2026</w:t>
      </w:r>
    </w:p>
    <w:p>
      <w:pPr>
        <w:pStyle w:val="Heading2"/>
      </w:pPr>
      <w:r>
        <w:t>Overview</w:t>
      </w:r>
    </w:p>
    <w:p>
      <w:r>
        <w:t>Sprint 2 will focus on the core machine learning pipeline: designing, training, validating, and integrating a unified calibrated phishing detection model into the Chrome extension built during Sprint 1. The model will use a 64-feature unified schema covering URL analysis, custom rule signals, DNS checks, Deep Scan page features, BEC/linkless detection, and attachment metadata - all in a single Random Forest with isotonic calibration. We also plan to implement a comprehensive trusted domain whitelist with post-model intelligence to reduce false positives, a free email provider distinction to prevent whitelist abuse, user-managed custom trusted domains, and an optional cloud AI enhancement (BYOK) feature to provide a second opinion using features-only payloads. By the end of this sprint the extension should generate a calibrated risk score (0-100) for every email opened in Gmail, display contributing risk factors, and optionally query an AI provider for additional analysis. All core ML processing will remain fully local.</w:t>
      </w:r>
    </w:p>
    <w:p>
      <w:pPr>
        <w:pStyle w:val="Heading2"/>
      </w:pPr>
      <w:r>
        <w:t>Sprint 2 Requirements (From Requirements Stack)</w:t>
      </w:r>
    </w:p>
    <w:p>
      <w:r>
        <w:t>The following requirements are assigned to Sprint 2 in the project requirements stack. These are the primary goals the team will work toward completing this sprint.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Req 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Story Pts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Develop an initial phishing detection model design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Train the phishing detection model using labeled phishing email datasets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Validate the trained phishing detection model for classification accuracy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Integrate the trained phishing detection model into the extension's analysis pipeline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Generate a phishing risk score for the selected email using the integrated model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Display the phishing risk score within the report 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Display the primary reasons contributing to the phishing risk score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Identify and display suspicious links found in the 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Display loading indicators while email analysis is in progress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Display clear error messages when analysis cannot be completed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</w:tr>
    </w:tbl>
    <w:p>
      <w:pPr>
        <w:pStyle w:val="Heading2"/>
      </w:pPr>
      <w:r>
        <w:t>Stretch Goals (Ahead-of-Schedule Items)</w:t>
      </w:r>
    </w:p>
    <w:p>
      <w:r>
        <w:t>If time permits, the team will also begin work on the following items from later sprints to get ahead of the project timeline.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Related Req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Unified 64-feature calibrated 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 15 (Sprint 3)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Replace the two-model pipeline (25-feature Tier 1 + 38-feature Deep Scan) with a single 64-feature unified Random Forest using isotonic calibration. riskScore = round(100 x calibrated_probability).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BEC/Linkless detection features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 15 (Sprint 3)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5 new features for business email compromise: FinancialRequestScore, AuthorityImpersonationScore, PhoneCallbackPattern, ReplyToMismatch, IsLinkless.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Attachment analysis features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 15 (Sprint 3)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5 new features for attachment threats: HasAttachment, AttachmentCount, RiskyAttachmentExtension, DoubleExtensionFlag, AttachmentNameEntropy.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Trusted domain whitelist (500+ domains)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 16 (Sprint 3)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Implement a comprehensive whitelist of 500+ known-legitimate corporate/organizational domains. Separate free email providers (gmail.com, outlook.com, etc.) into a distinct set to prevent whitelist abuse by phishers using free accounts.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Post-model intelligence layer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 16 (Sprint 3)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rule-based post-model adjustments: BEC boosts (floor 70-80 for strong financial/authority signals), trusted domain dampening (cap at 30), newsletter detection (cap at 45), and free email provider awareness (no dampening for public providers).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User-managed custom trusted domains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 16 (Sprint 3)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Allow users to add/remove custom trusted domains and block built-in ones via the popup settings UI. Store in chrome.storage.local with live sync to content script.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Enhancement (Cloud BYOK)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 27 (Sprint 4)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optional cloud AI second opinion using BYOK (Bring Your Own Key). Support OpenAI, Anthropic, Google Gemini, Azure OpenAI, and custom endpoints. Features-only payload (no email body/subject/sender). Automatic gating to reduce latency/cost. Strict JSON schema validation.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Synthetic training data augmentation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 15 (Sprint 3)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Generate synthetic BEC phishing (2,000), attachment phishing (1,000), legitimate newsletter (2,000), and transactional email (1,000) samples to improve model accuracy on underrepresented phishing types.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Fish award system and collection panel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 17 (Sprint 3)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Award themed fish (Friendly Fish, Suspicious Fish, Phishy Puffer, Mega Phish Shark) when an email scan completes. Animated SVG fish tank dashboard.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DNS-over-HTTPS validation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 27 (Sprint 4)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Implement domain validation using Cloudflare and Google DNS-over-HTTPS, integrated as model input features.</w:t>
            </w:r>
          </w:p>
        </w:tc>
      </w:tr>
    </w:tbl>
    <w:p>
      <w:pPr>
        <w:pStyle w:val="Heading2"/>
      </w:pPr>
      <w:r>
        <w:t>Sprint 2 Planning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Sprint 2 Requirements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Sprint 2 Story Points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Stretch Goal Items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Sprint Duration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14 days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Team Members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