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C9A227"/>
          <w:sz w:val="28"/>
          <w:szCs w:val="28"/>
        </w:rPr>
        <w:t xml:space="preserve">TYREY TECHNOLOGIES, INC.</w:t>
      </w:r>
    </w:p>
    <w:p>
      <w:pPr>
        <w:spacing w:after="200"/>
        <w:jc w:val="center"/>
      </w:pPr>
      <w:r>
        <w:rPr>
          <w:b/>
          <w:bCs/>
          <w:color w:val="0B1F3A"/>
          <w:sz w:val="56"/>
          <w:szCs w:val="56"/>
        </w:rPr>
        <w:t xml:space="preserve">TyRey Intelligence™ Master Blueprint</w:t>
      </w:r>
    </w:p>
    <w:p>
      <w:pPr>
        <w:spacing w:after="120"/>
        <w:jc w:val="center"/>
      </w:pPr>
      <w:r>
        <w:rPr>
          <w:color w:val="5B6B80"/>
          <w:sz w:val="24"/>
          <w:szCs w:val="24"/>
        </w:rPr>
        <w:t xml:space="preserve">Version 1.0 — Single Source of Truth</w:t>
      </w:r>
    </w:p>
    <w:p>
      <w:pPr>
        <w:jc w:val="center"/>
      </w:pPr>
      <w:r>
        <w:rPr>
          <w:i/>
          <w:iCs/>
          <w:color w:val="5B6B80"/>
          <w:sz w:val="22"/>
          <w:szCs w:val="22"/>
        </w:rPr>
        <w:t xml:space="preserve">Building the Intelligence Infrastructure for Modern Business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Company</w:t>
      </w:r>
    </w:p>
    <w:p>
      <w:pPr>
        <w:spacing w:after="120"/>
      </w:pPr>
      <w:r>
        <w:t xml:space="preserve">TyRey Technologies, Inc. is a platform company. TyRey Intelligence™ is its first product: an AI-powered strategic advisory platform — a strategic decision operating system for building, evaluating, and scaling businesses.</w:t>
      </w:r>
    </w:p>
    <w:p>
      <w:pPr>
        <w:pStyle w:val="Heading2"/>
      </w:pPr>
      <w:r>
        <w:t xml:space="preserve">Mission</w:t>
      </w:r>
    </w:p>
    <w:p>
      <w:pPr>
        <w:spacing w:after="120"/>
      </w:pPr>
      <w:r>
        <w:t xml:space="preserve">To democratize world-class strategic intelligence so that every entrepreneur, executive, investor, and community can build with confidence.</w:t>
      </w:r>
    </w:p>
    <w:p>
      <w:pPr>
        <w:pStyle w:val="Heading2"/>
      </w:pPr>
      <w:r>
        <w:t xml:space="preserve">North Star</w:t>
      </w:r>
    </w:p>
    <w:p>
      <w:pPr>
        <w:spacing w:after="120"/>
      </w:pPr>
      <w:r>
        <w:t xml:space="preserve">Every decision supports one measurable objective: help customers build better businesses, faster. Everything else is secondary.</w:t>
      </w:r>
    </w:p>
    <w:p>
      <w:pPr>
        <w:pStyle w:val="Heading2"/>
      </w:pPr>
      <w:r>
        <w:t xml:space="preserve">Positioning</w:t>
      </w:r>
    </w:p>
    <w:p>
      <w:pPr>
        <w:spacing w:after="120"/>
      </w:pPr>
      <w:r>
        <w:t xml:space="preserve">TyRey is not a chatbot company, not a consulting replacement tool, and not a document generator. It is an AI-native decision infrastructure platform for organizations.</w:t>
      </w:r>
    </w:p>
    <w:p>
      <w:pPr>
        <w:pStyle w:val="Heading2"/>
      </w:pPr>
      <w:r>
        <w:t xml:space="preserve">Future Product Family</w:t>
      </w:r>
    </w:p>
    <w:p>
      <w:pPr>
        <w:pStyle w:val="ListParagraph"/>
        <w:numPr>
          <w:ilvl w:val="0"/>
          <w:numId w:val="2"/>
        </w:numPr>
        <w:spacing w:after="60"/>
      </w:pPr>
      <w:r>
        <w:rPr>
          <w:b/>
          <w:bCs/>
        </w:rPr>
        <w:t xml:space="preserve">TyRey Capital™ — </w:t>
      </w:r>
      <w:r>
        <w:t xml:space="preserve">capital formation and investor matching.</w:t>
      </w:r>
    </w:p>
    <w:p>
      <w:pPr>
        <w:pStyle w:val="ListParagraph"/>
        <w:numPr>
          <w:ilvl w:val="0"/>
          <w:numId w:val="2"/>
        </w:numPr>
        <w:spacing w:after="60"/>
      </w:pPr>
      <w:r>
        <w:rPr>
          <w:b/>
          <w:bCs/>
        </w:rPr>
        <w:t xml:space="preserve">TyRey Ventures™ — </w:t>
      </w:r>
      <w:r>
        <w:t xml:space="preserve">company incubation and venture studio.</w:t>
      </w:r>
    </w:p>
    <w:p>
      <w:pPr>
        <w:pStyle w:val="ListParagraph"/>
        <w:numPr>
          <w:ilvl w:val="0"/>
          <w:numId w:val="2"/>
        </w:numPr>
        <w:spacing w:after="60"/>
      </w:pPr>
      <w:r>
        <w:rPr>
          <w:b/>
          <w:bCs/>
        </w:rPr>
        <w:t xml:space="preserve">TyRey Analytics™ — </w:t>
      </w:r>
      <w:r>
        <w:t xml:space="preserve">market and competitive intelligence.</w:t>
      </w:r>
    </w:p>
    <w:p>
      <w:pPr>
        <w:pStyle w:val="ListParagraph"/>
        <w:numPr>
          <w:ilvl w:val="0"/>
          <w:numId w:val="2"/>
        </w:numPr>
        <w:spacing w:after="60"/>
      </w:pPr>
      <w:r>
        <w:rPr>
          <w:b/>
          <w:bCs/>
        </w:rPr>
        <w:t xml:space="preserve">TyRey Nexus™ — </w:t>
      </w:r>
      <w:r>
        <w:t xml:space="preserve">secure enterprise knowledge management.</w:t>
      </w:r>
    </w:p>
    <w:p>
      <w:pPr>
        <w:pStyle w:val="ListParagraph"/>
        <w:numPr>
          <w:ilvl w:val="0"/>
          <w:numId w:val="2"/>
        </w:numPr>
        <w:spacing w:after="60"/>
      </w:pPr>
      <w:r>
        <w:rPr>
          <w:b/>
          <w:bCs/>
        </w:rPr>
        <w:t xml:space="preserve">TyRey Government™ — </w:t>
      </w:r>
      <w:r>
        <w:t xml:space="preserve">economic development and public-sector strategic planning.</w:t>
      </w:r>
    </w:p>
    <w:p>
      <w:pPr>
        <w:pStyle w:val="ListParagraph"/>
        <w:numPr>
          <w:ilvl w:val="0"/>
          <w:numId w:val="2"/>
        </w:numPr>
        <w:spacing w:after="60"/>
      </w:pPr>
      <w:r>
        <w:rPr>
          <w:b/>
          <w:bCs/>
        </w:rPr>
        <w:t xml:space="preserve">TyRey Health™ — </w:t>
      </w:r>
      <w:r>
        <w:t xml:space="preserve">healthcare strategy, commercialization, and innovation planning.</w:t>
      </w:r>
    </w:p>
    <w:p>
      <w:pPr>
        <w:pStyle w:val="Heading1"/>
      </w:pPr>
      <w:r>
        <w:t xml:space="preserve">2. The Product</w:t>
      </w:r>
    </w:p>
    <w:p>
      <w:pPr>
        <w:spacing w:after="120"/>
      </w:pPr>
      <w:r>
        <w:t xml:space="preserve">A project-based AI strategy workspace that generates business plans, investor memos, market analyses, and execution plans. The experience should feel like working with a top-tier strategy firm.</w:t>
      </w:r>
    </w:p>
    <w:p>
      <w:pPr>
        <w:pStyle w:val="Heading2"/>
      </w:pPr>
      <w:r>
        <w:t xml:space="preserve">Customer Journey</w:t>
      </w:r>
    </w:p>
    <w:p>
      <w:pPr>
        <w:pStyle w:val="ListParagraph"/>
        <w:numPr>
          <w:ilvl w:val="0"/>
          <w:numId w:val="2"/>
        </w:numPr>
        <w:spacing w:after="60"/>
      </w:pPr>
      <w:r>
        <w:rPr>
          <w:b/>
          <w:bCs/>
        </w:rPr>
        <w:t xml:space="preserve">Discover — </w:t>
      </w:r>
      <w:r>
        <w:t xml:space="preserve">the user chooses a goal: start a company, raise capital, buy a business, expand into a new market, improve operations.</w:t>
      </w:r>
    </w:p>
    <w:p>
      <w:pPr>
        <w:pStyle w:val="ListParagraph"/>
        <w:numPr>
          <w:ilvl w:val="0"/>
          <w:numId w:val="2"/>
        </w:numPr>
        <w:spacing w:after="60"/>
      </w:pPr>
      <w:r>
        <w:rPr>
          <w:b/>
          <w:bCs/>
        </w:rPr>
        <w:t xml:space="preserve">Diagnose — </w:t>
      </w:r>
      <w:r>
        <w:t xml:space="preserve">the platform asks targeted questions, identifies gaps, and prioritizes the work.</w:t>
      </w:r>
    </w:p>
    <w:p>
      <w:pPr>
        <w:pStyle w:val="ListParagraph"/>
        <w:numPr>
          <w:ilvl w:val="0"/>
          <w:numId w:val="2"/>
        </w:numPr>
        <w:spacing w:after="60"/>
      </w:pPr>
      <w:r>
        <w:rPr>
          <w:b/>
          <w:bCs/>
        </w:rPr>
        <w:t xml:space="preserve">Build — </w:t>
      </w:r>
      <w:r>
        <w:t xml:space="preserve">it assembles required deliverables: business plans, financial assumptions, investor materials, roadmaps.</w:t>
      </w:r>
    </w:p>
    <w:p>
      <w:pPr>
        <w:pStyle w:val="ListParagraph"/>
        <w:numPr>
          <w:ilvl w:val="0"/>
          <w:numId w:val="2"/>
        </w:numPr>
        <w:spacing w:after="60"/>
      </w:pPr>
      <w:r>
        <w:rPr>
          <w:b/>
          <w:bCs/>
        </w:rPr>
        <w:t xml:space="preserve">Refine — </w:t>
      </w:r>
      <w:r>
        <w:t xml:space="preserve">the user collaborates with the platform (and optionally a human advisor) to improve outputs.</w:t>
      </w:r>
    </w:p>
    <w:p>
      <w:pPr>
        <w:pStyle w:val="ListParagraph"/>
        <w:numPr>
          <w:ilvl w:val="0"/>
          <w:numId w:val="2"/>
        </w:numPr>
        <w:spacing w:after="60"/>
      </w:pPr>
      <w:r>
        <w:rPr>
          <w:b/>
          <w:bCs/>
        </w:rPr>
        <w:t xml:space="preserve">Execute — </w:t>
      </w:r>
      <w:r>
        <w:t xml:space="preserve">the platform tracks milestones, stores documents, and supports ongoing strategic work.</w:t>
      </w:r>
    </w:p>
    <w:p>
      <w:pPr>
        <w:pStyle w:val="Heading2"/>
      </w:pPr>
      <w:r>
        <w:t xml:space="preserve">Output Standard</w:t>
      </w:r>
    </w:p>
    <w:p>
      <w:pPr>
        <w:spacing w:after="120"/>
      </w:pPr>
      <w:r>
        <w:t xml:space="preserve">Every report must be: decision-ready, well-organized, clearly sourced where appropriate, and actionable.</w:t>
      </w:r>
    </w:p>
    <w:p>
      <w:pPr>
        <w:pStyle w:val="Heading2"/>
      </w:pPr>
      <w:r>
        <w:t xml:space="preserve">Core Objects</w:t>
      </w:r>
    </w:p>
    <w:p>
      <w:pPr>
        <w:spacing w:after="120"/>
      </w:pPr>
      <w:r>
        <w:t xml:space="preserve">Everything is built around four objects: Organization, Project, Workspace, and Deliverable.</w:t>
      </w:r>
    </w:p>
    <w:p>
      <w:pPr>
        <w:pStyle w:val="Heading1"/>
      </w:pPr>
      <w:r>
        <w:t xml:space="preserve">3. Proprietary Framework IP (The Moat)</w:t>
      </w:r>
    </w:p>
    <w:p>
      <w:pPr>
        <w:spacing w:after="120"/>
      </w:pPr>
      <w:r>
        <w:t xml:space="preserve">The moat is not software. It is structured decision frameworks, proprietary workflow data, compounding usage history, and embedded business logic. The engine never freeform-prompts — every generation injects a structured framework (the TyRey Moat Engine™).</w:t>
      </w:r>
    </w:p>
    <w:p>
      <w:pPr>
        <w:pStyle w:val="Heading2"/>
      </w:pPr>
      <w:r>
        <w:t xml:space="preserve">Framework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Framework</w:t>
            </w:r>
          </w:p>
        </w:tc>
        <w:tc>
          <w:tcPr>
            <w:tcW w:type="dxa" w:w="61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Business Genome™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Scores a business across 10 dimensions (Vision, Market, Customer, Product, Revenue, Operations, Capital, Technology, Leadership, Risk) with actions.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Intelligence Score™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Trackable composite index across 7 readiness categories.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Executive Decision Framework™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Structured analysis of high-stakes decisions.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Market Opportunity Framework™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Rapid opportunity scoring before resource commitment.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Capital Readiness Framework™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 the company ready to raise, and what to fix first.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Acquisition Readiness Framework™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Target and buyer readiness for M&amp;A.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Innovation Pipeline Framework™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Portfolio structure across three horizons.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Operational Excellence Framework™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Repeatability, quality, and scale readiness.</w:t>
            </w:r>
          </w:p>
        </w:tc>
      </w:tr>
    </w:tbl>
    <w:p>
      <w:pPr>
        <w:spacing w:after="120"/>
      </w:pPr>
      <w:r>
        <w:t xml:space="preserve"/>
      </w:r>
    </w:p>
    <w:p>
      <w:pPr>
        <w:spacing w:after="120"/>
      </w:pPr>
      <w:r>
        <w:t xml:space="preserve">These frameworks are company IP: they can be licensed, taught, and embedded in software.</w:t>
      </w:r>
    </w:p>
    <w:p>
      <w:pPr>
        <w:pStyle w:val="Heading1"/>
      </w:pPr>
      <w:r>
        <w:t xml:space="preserve">4. Technical Architecture</w:t>
      </w:r>
    </w:p>
    <w:p>
      <w:pPr>
        <w:pStyle w:val="Heading2"/>
      </w:pPr>
      <w: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Layer</w:t>
            </w:r>
          </w:p>
        </w:tc>
        <w:tc>
          <w:tcPr>
            <w:tcW w:type="dxa" w:w="65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Next.js (React, TypeScript)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FastAPI (Python)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PostgreSQL (SQLite in development)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Anthropic Claude with structured framework injection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Payments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Stripe (one-time packs + subscriptions)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 enterprise IdP + MFA at enterprise stage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Docker; Vercel (frontend), Render/Fly.io (backend), Supabase/Neon (DB)</w:t>
            </w:r>
          </w:p>
        </w:tc>
      </w:tr>
    </w:tbl>
    <w:p>
      <w:pPr>
        <w:spacing w:after="120"/>
      </w:pPr>
      <w:r>
        <w:t xml:space="preserve"/>
      </w:r>
    </w:p>
    <w:p>
      <w:pPr>
        <w:pStyle w:val="Heading2"/>
      </w:pPr>
      <w:r>
        <w:t xml:space="preserve">System Flow</w:t>
      </w:r>
    </w:p>
    <w:p>
      <w:pPr>
        <w:spacing w:after="120"/>
      </w:pPr>
      <w:r>
        <w:t xml:space="preserve">Frontend → API layer → Intelligence Orchestrator → Framework Library (proprietary IP layer) → LLM layer. Outputs are stored per project in the document vault with PDF export.</w:t>
      </w:r>
    </w:p>
    <w:p>
      <w:pPr>
        <w:pStyle w:val="Heading2"/>
      </w:pPr>
      <w:r>
        <w:t xml:space="preserve">Data Model</w:t>
      </w:r>
    </w:p>
    <w:p>
      <w:pPr>
        <w:spacing w:after="120"/>
      </w:pPr>
      <w:r>
        <w:t xml:space="preserve">Users (id, email, hashed_password, plan) → Projects (name, objective, industry, stage, genome_score) → Documents (type, markdown content, metadata). Funnel orders track the public revenue funnel independently of accounts.</w:t>
      </w:r>
    </w:p>
    <w:p>
      <w:pPr>
        <w:pStyle w:val="Heading1"/>
      </w:pPr>
      <w:r>
        <w:t xml:space="preserve">5. Business Model</w:t>
      </w:r>
    </w:p>
    <w:p>
      <w:pPr>
        <w:pStyle w:val="Heading2"/>
      </w:pPr>
      <w:r>
        <w:t xml:space="preserve">Launch Funnel (one-time, frictionless)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Offer</w:t>
            </w:r>
          </w:p>
        </w:tc>
        <w:tc>
          <w:tcPr>
            <w:tcW w:type="dxa" w:w="14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Price</w:t>
            </w:r>
          </w:p>
        </w:tc>
        <w:tc>
          <w:tcPr>
            <w:tcW w:type="dxa" w:w="51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Contents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Starter Pack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Business plan + market overview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Investor Pack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 plan, investor memo, market analysis, action roadmap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Founder Premium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$199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Everything + Business Genome™ score</w:t>
            </w:r>
          </w:p>
        </w:tc>
      </w:tr>
    </w:tbl>
    <w:p>
      <w:pPr>
        <w:spacing w:after="120"/>
      </w:pPr>
      <w:r>
        <w:t xml:space="preserve"/>
      </w:r>
    </w:p>
    <w:p>
      <w:pPr>
        <w:pStyle w:val="Heading2"/>
      </w:pPr>
      <w:r>
        <w:t xml:space="preserve">Subscription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Tier</w:t>
            </w:r>
          </w:p>
        </w:tc>
        <w:tc>
          <w:tcPr>
            <w:tcW w:type="dxa" w:w="24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Price</w:t>
            </w:r>
          </w:p>
        </w:tc>
        <w:tc>
          <w:tcPr>
            <w:tcW w:type="dxa" w:w="41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Starter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$49/month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Founders and solo builders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$149/month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Teams and advisors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Executive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$499/month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Firms and funds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Enterprise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$25K–$250K/year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Institutions, PE, universities, governments</w:t>
            </w:r>
          </w:p>
        </w:tc>
      </w:tr>
    </w:tbl>
    <w:p>
      <w:pPr>
        <w:spacing w:after="120"/>
      </w:pPr>
      <w:r>
        <w:t xml:space="preserve"/>
      </w:r>
    </w:p>
    <w:p>
      <w:pPr>
        <w:spacing w:after="120"/>
      </w:pPr>
      <w:r>
        <w:t xml:space="preserve">Unit economics: 70–85% gross margin; AI inference costs controlled via structured outputs; high LTV from multi-project usage.</w:t>
      </w:r>
    </w:p>
    <w:p>
      <w:pPr>
        <w:pStyle w:val="Heading1"/>
      </w:pPr>
      <w:r>
        <w:t xml:space="preserve">6. Go-To-Market</w:t>
      </w:r>
    </w:p>
    <w:p>
      <w:pPr>
        <w:pStyle w:val="ListParagraph"/>
        <w:numPr>
          <w:ilvl w:val="0"/>
          <w:numId w:val="2"/>
        </w:numPr>
        <w:spacing w:after="60"/>
      </w:pPr>
      <w:r>
        <w:rPr>
          <w:b/>
          <w:bCs/>
        </w:rPr>
        <w:t xml:space="preserve">Phase 1 — Founders &amp; startups — </w:t>
      </w:r>
      <w:r>
        <w:t xml:space="preserve">high-intent buyers actively raising capital. Core loop: Traffic → Idea input → AI preview → Paid unlock → Repeat.</w:t>
      </w:r>
    </w:p>
    <w:p>
      <w:pPr>
        <w:pStyle w:val="ListParagraph"/>
        <w:numPr>
          <w:ilvl w:val="0"/>
          <w:numId w:val="2"/>
        </w:numPr>
        <w:spacing w:after="60"/>
      </w:pPr>
      <w:r>
        <w:rPr>
          <w:b/>
          <w:bCs/>
        </w:rPr>
        <w:t xml:space="preserve">Phase 2 — Private equity &amp; investment firms — </w:t>
      </w:r>
      <w:r>
        <w:t xml:space="preserve">deal memos, diligence, portfolio intelligence.</w:t>
      </w:r>
    </w:p>
    <w:p>
      <w:pPr>
        <w:pStyle w:val="ListParagraph"/>
        <w:numPr>
          <w:ilvl w:val="0"/>
          <w:numId w:val="2"/>
        </w:numPr>
        <w:spacing w:after="60"/>
      </w:pPr>
      <w:r>
        <w:rPr>
          <w:b/>
          <w:bCs/>
        </w:rPr>
        <w:t xml:space="preserve">Phase 3 — Universities, governments, enterprises — </w:t>
      </w:r>
      <w:r>
        <w:t xml:space="preserve">economic development and enterprise strategy contracts.</w:t>
      </w:r>
    </w:p>
    <w:p>
      <w:pPr>
        <w:pStyle w:val="Heading2"/>
      </w:pPr>
      <w:r>
        <w:t xml:space="preserve">First Customer Acquisition</w:t>
      </w:r>
    </w:p>
    <w:p>
      <w:pPr>
        <w:spacing w:after="120"/>
      </w:pPr>
      <w:r>
        <w:t xml:space="preserve">Direct founder outreach: “I built an AI that turns any idea into an investor-ready business pack in 5 minutes. I’ll generate one for your idea free — no login needed.”</w:t>
      </w:r>
    </w:p>
    <w:p>
      <w:pPr>
        <w:pStyle w:val="Heading1"/>
      </w:pPr>
      <w:r>
        <w:t xml:space="preserve">7. Financial Plan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c>
          <w:tcPr>
            <w:tcW w:type="dxa" w:w="12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Year</w:t>
            </w:r>
          </w:p>
        </w:tc>
        <w:tc>
          <w:tcPr>
            <w:tcW w:type="dxa" w:w="20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Users (avg)</w:t>
            </w:r>
          </w:p>
        </w:tc>
        <w:tc>
          <w:tcPr>
            <w:tcW w:type="dxa" w:w="20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ARR (approx.)</w:t>
            </w:r>
          </w:p>
        </w:tc>
        <w:tc>
          <w:tcPr>
            <w:tcW w:type="dxa" w:w="41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Driver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$600K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Blended $100/month; funnel conversions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Enterprise pilots begin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Enterprise expansion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$60M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Platform scaling; intelligence modules mature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$120M+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 + licensing revenue</w:t>
            </w:r>
          </w:p>
        </w:tc>
      </w:tr>
    </w:tbl>
    <w:p>
      <w:pPr>
        <w:spacing w:after="120"/>
      </w:pPr>
      <w:r>
        <w:t xml:space="preserve"/>
      </w:r>
    </w:p>
    <w:p>
      <w:pPr>
        <w:spacing w:after="120"/>
      </w:pPr>
      <w:r>
        <w:rPr>
          <w:i/>
          <w:iCs/>
          <w:color w:val="5B6B80"/>
        </w:rPr>
        <w:t xml:space="preserve">Assumptions are explicit and revisable. These are planning projections, not guarantees.</w:t>
      </w:r>
    </w:p>
    <w:p>
      <w:pPr>
        <w:pStyle w:val="Heading2"/>
      </w:pPr>
      <w:r>
        <w:t xml:space="preserve">Fundraising Strategy</w:t>
      </w:r>
    </w:p>
    <w:p>
      <w:pPr>
        <w:pStyle w:val="ListParagraph"/>
        <w:numPr>
          <w:ilvl w:val="0"/>
          <w:numId w:val="2"/>
        </w:numPr>
        <w:spacing w:after="60"/>
      </w:pPr>
      <w:r>
        <w:rPr>
          <w:b/>
          <w:bCs/>
        </w:rPr>
        <w:t xml:space="preserve">Phase 1 — Friends/angels — </w:t>
      </w:r>
      <w:r>
        <w:t xml:space="preserve">validate MVP usage; first paying customers.</w:t>
      </w:r>
    </w:p>
    <w:p>
      <w:pPr>
        <w:pStyle w:val="ListParagraph"/>
        <w:numPr>
          <w:ilvl w:val="0"/>
          <w:numId w:val="2"/>
        </w:numPr>
        <w:spacing w:after="60"/>
      </w:pPr>
      <w:r>
        <w:rPr>
          <w:b/>
          <w:bCs/>
        </w:rPr>
        <w:t xml:space="preserve">Phase 2 — Seed ($1M–3M) — </w:t>
      </w:r>
      <w:r>
        <w:t xml:space="preserve">enterprise readiness; expand product modules.</w:t>
      </w:r>
    </w:p>
    <w:p>
      <w:pPr>
        <w:pStyle w:val="ListParagraph"/>
        <w:numPr>
          <w:ilvl w:val="0"/>
          <w:numId w:val="2"/>
        </w:numPr>
        <w:spacing w:after="60"/>
      </w:pPr>
      <w:r>
        <w:rPr>
          <w:b/>
          <w:bCs/>
        </w:rPr>
        <w:t xml:space="preserve">Phase 3 — Series A — </w:t>
      </w:r>
      <w:r>
        <w:t xml:space="preserve">enterprise scaling; vertical intelligence expansion.</w:t>
      </w:r>
    </w:p>
    <w:p>
      <w:pPr>
        <w:pStyle w:val="Heading1"/>
      </w:pPr>
      <w:r>
        <w:t xml:space="preserve">8. Execution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Sprint</w:t>
            </w:r>
          </w:p>
        </w:tc>
        <w:tc>
          <w:tcPr>
            <w:tcW w:type="dxa" w:w="71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tcPr>
          <w:p>
            <w:r>
              <w:rPr>
                <w:b/>
                <w:bCs/>
                <w:color w:val="FFFFFF"/>
              </w:rPr>
              <w:t xml:space="preserve">Deliverables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 project creation, basic dashboard — SHIPPED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Business Plan + Investor Memo generators — SHIPPED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Market Analysis + Business Genome™ — SHIPPED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4</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Document vault + PDF export — SHIPPED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Go-live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Deploy funnel; Stripe live mode; end-to-end payment 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 90 days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First 10–100 paying users via founder outreach</w:t>
            </w:r>
          </w:p>
        </w:tc>
      </w:tr>
    </w:tbl>
    <w:p>
      <w:pPr>
        <w:spacing w:after="120"/>
      </w:pPr>
      <w:r>
        <w:t xml:space="preserve"/>
      </w:r>
    </w:p>
    <w:p>
      <w:pPr>
        <w:pStyle w:val="Heading2"/>
      </w:pPr>
      <w:r>
        <w:t xml:space="preserve">First Milestone — The Platform Builds Itself</w:t>
      </w:r>
    </w:p>
    <w:p>
      <w:pPr>
        <w:spacing w:after="120"/>
      </w:pPr>
      <w:r>
        <w:t xml:space="preserve">Before public launch, TyRey Intelligence is used internally to create its own business plan, pitch deck, sales playbook, marketing strategy, financial model, product roadmap, hiring plan, and SOPs. When the platform can help build itself, it has proven its value.</w:t>
      </w:r>
    </w:p>
    <w:p>
      <w:pPr>
        <w:pStyle w:val="Heading1"/>
      </w:pPr>
      <w:r>
        <w:t xml:space="preserve">9. Risk Register &amp; Mitigation Plan</w:t>
      </w:r>
    </w:p>
    <w:p>
      <w:pPr>
        <w:pStyle w:val="Heading2"/>
      </w:pPr>
      <w:r>
        <w:t xml:space="preserve">9.1 Replication Risk</w:t>
      </w:r>
    </w:p>
    <w:p>
      <w:pPr>
        <w:spacing w:after="120"/>
      </w:pPr>
      <w:r>
        <w:t xml:space="preserve">Risk: the core application can be copied in weeks. The moat is frameworks + workflow data + compounding history, not code.</w:t>
      </w:r>
    </w:p>
    <w:p>
      <w:pPr>
        <w:pStyle w:val="ListParagraph"/>
        <w:numPr>
          <w:ilvl w:val="0"/>
          <w:numId w:val="2"/>
        </w:numPr>
        <w:spacing w:after="60"/>
      </w:pPr>
      <w:r>
        <w:rPr>
          <w:b/>
          <w:bCs/>
        </w:rPr>
        <w:t xml:space="preserve">Protect the IP layer — </w:t>
      </w:r>
      <w:r>
        <w:t xml:space="preserve">framework definitions and prompts stay server-side only; API responses expose outputs, never framework structure.</w:t>
      </w:r>
    </w:p>
    <w:p>
      <w:pPr>
        <w:pStyle w:val="ListParagraph"/>
        <w:numPr>
          <w:ilvl w:val="0"/>
          <w:numId w:val="2"/>
        </w:numPr>
        <w:spacing w:after="60"/>
      </w:pPr>
      <w:r>
        <w:rPr>
          <w:b/>
          <w:bCs/>
        </w:rPr>
        <w:t xml:space="preserve">Trademark the marks — </w:t>
      </w:r>
      <w:r>
        <w:t xml:space="preserve">file USPTO applications for Business Genome™, Intelligence Score™, and the TyRey product marks before launch (≈$250–350 per class).</w:t>
      </w:r>
    </w:p>
    <w:p>
      <w:pPr>
        <w:pStyle w:val="ListParagraph"/>
        <w:numPr>
          <w:ilvl w:val="0"/>
          <w:numId w:val="2"/>
        </w:numPr>
        <w:spacing w:after="60"/>
      </w:pPr>
      <w:r>
        <w:rPr>
          <w:b/>
          <w:bCs/>
        </w:rPr>
        <w:t xml:space="preserve">Compound proprietary data — </w:t>
      </w:r>
      <w:r>
        <w:t xml:space="preserve">log every score, regeneration, and edit instruction from day one; benchmark data (“your score vs. peers”) is the asset a cloner cannot replicate.</w:t>
      </w:r>
    </w:p>
    <w:p>
      <w:pPr>
        <w:pStyle w:val="ListParagraph"/>
        <w:numPr>
          <w:ilvl w:val="0"/>
          <w:numId w:val="2"/>
        </w:numPr>
        <w:spacing w:after="60"/>
      </w:pPr>
      <w:r>
        <w:rPr>
          <w:b/>
          <w:bCs/>
        </w:rPr>
        <w:t xml:space="preserve">Move fast — </w:t>
      </w:r>
      <w:r>
        <w:t xml:space="preserve">speed to accumulated usage history matters more than secrecy; launch and collect.</w:t>
      </w:r>
    </w:p>
    <w:p>
      <w:pPr>
        <w:pStyle w:val="Heading2"/>
      </w:pPr>
      <w:r>
        <w:t xml:space="preserve">9.2 AI Quality Risk</w:t>
      </w:r>
    </w:p>
    <w:p>
      <w:pPr>
        <w:spacing w:after="120"/>
      </w:pPr>
      <w:r>
        <w:t xml:space="preserve">Risk: inconsistent output quality erodes the consulting-grade positioning.</w:t>
      </w:r>
    </w:p>
    <w:p>
      <w:pPr>
        <w:pStyle w:val="ListParagraph"/>
        <w:numPr>
          <w:ilvl w:val="0"/>
          <w:numId w:val="2"/>
        </w:numPr>
        <w:spacing w:after="60"/>
      </w:pPr>
      <w:r>
        <w:rPr>
          <w:b/>
          <w:bCs/>
        </w:rPr>
        <w:t xml:space="preserve">Structural validation gate — </w:t>
      </w:r>
      <w:r>
        <w:t xml:space="preserve">every generation is checked against its framework’s required sections; failures trigger one automatic corrective regeneration (implemented in the intelligence service).</w:t>
      </w:r>
    </w:p>
    <w:p>
      <w:pPr>
        <w:pStyle w:val="ListParagraph"/>
        <w:numPr>
          <w:ilvl w:val="0"/>
          <w:numId w:val="2"/>
        </w:numPr>
        <w:spacing w:after="60"/>
      </w:pPr>
      <w:r>
        <w:rPr>
          <w:b/>
          <w:bCs/>
        </w:rPr>
        <w:t xml:space="preserve">Golden-set regression testing — </w:t>
      </w:r>
      <w:r>
        <w:t xml:space="preserve">a reference suite (backend/evals) re-runs known inputs whenever a prompt, framework, or model version changes; CI-friendly exit codes.</w:t>
      </w:r>
    </w:p>
    <w:p>
      <w:pPr>
        <w:pStyle w:val="ListParagraph"/>
        <w:numPr>
          <w:ilvl w:val="0"/>
          <w:numId w:val="2"/>
        </w:numPr>
        <w:spacing w:after="60"/>
      </w:pPr>
      <w:r>
        <w:rPr>
          <w:b/>
          <w:bCs/>
        </w:rPr>
        <w:t xml:space="preserve">Version traceability — </w:t>
      </w:r>
      <w:r>
        <w:t xml:space="preserve">log model + framework version per generation so quality regressions are attributable.</w:t>
      </w:r>
    </w:p>
    <w:p>
      <w:pPr>
        <w:pStyle w:val="Heading2"/>
      </w:pPr>
      <w:r>
        <w:t xml:space="preserve">9.3 Concentration Risk</w:t>
      </w:r>
    </w:p>
    <w:p>
      <w:pPr>
        <w:spacing w:after="120"/>
      </w:pPr>
      <w:r>
        <w:t xml:space="preserve">Risk: dependence on a single AI provider for availability, pricing, and policy.</w:t>
      </w:r>
    </w:p>
    <w:p>
      <w:pPr>
        <w:pStyle w:val="ListParagraph"/>
        <w:numPr>
          <w:ilvl w:val="0"/>
          <w:numId w:val="2"/>
        </w:numPr>
        <w:spacing w:after="60"/>
      </w:pPr>
      <w:r>
        <w:rPr>
          <w:b/>
          <w:bCs/>
        </w:rPr>
        <w:t xml:space="preserve">Provider fallback — </w:t>
      </w:r>
      <w:r>
        <w:t xml:space="preserve">the intelligence service routes to a configured fallback provider on primary failure — an outage degrades rather than kills the funnel (implemented).</w:t>
      </w:r>
    </w:p>
    <w:p>
      <w:pPr>
        <w:pStyle w:val="ListParagraph"/>
        <w:numPr>
          <w:ilvl w:val="0"/>
          <w:numId w:val="2"/>
        </w:numPr>
        <w:spacing w:after="60"/>
      </w:pPr>
      <w:r>
        <w:rPr>
          <w:b/>
          <w:bCs/>
        </w:rPr>
        <w:t xml:space="preserve">Cost monitoring — </w:t>
      </w:r>
      <w:r>
        <w:t xml:space="preserve">track per-generation inference cost against the 70–85% gross-margin target; cache free previews aggressively.</w:t>
      </w:r>
    </w:p>
    <w:p>
      <w:pPr>
        <w:pStyle w:val="ListParagraph"/>
        <w:numPr>
          <w:ilvl w:val="0"/>
          <w:numId w:val="2"/>
        </w:numPr>
        <w:spacing w:after="60"/>
      </w:pPr>
      <w:r>
        <w:rPr>
          <w:b/>
          <w:bCs/>
        </w:rPr>
        <w:t xml:space="preserve">Abstraction discipline — </w:t>
      </w:r>
      <w:r>
        <w:t xml:space="preserve">all model calls flow through one internal interface; swapping providers is a config change, not a rewrite.</w:t>
      </w:r>
    </w:p>
    <w:p>
      <w:pPr>
        <w:pStyle w:val="Heading2"/>
      </w:pPr>
      <w:r>
        <w:t xml:space="preserve">9.4 Regulatory Risk</w:t>
      </w:r>
    </w:p>
    <w:p>
      <w:pPr>
        <w:spacing w:after="120"/>
      </w:pPr>
      <w:r>
        <w:t xml:space="preserve">Risk: outputs could be construed as financial, investment, or legal advice.</w:t>
      </w:r>
    </w:p>
    <w:p>
      <w:pPr>
        <w:pStyle w:val="ListParagraph"/>
        <w:numPr>
          <w:ilvl w:val="0"/>
          <w:numId w:val="2"/>
        </w:numPr>
        <w:spacing w:after="60"/>
      </w:pPr>
      <w:r>
        <w:rPr>
          <w:b/>
          <w:bCs/>
        </w:rPr>
        <w:t xml:space="preserve">Disclaimers that travel — </w:t>
      </w:r>
      <w:r>
        <w:t xml:space="preserve">the legal disclaimer is embedded inside every exported PDF, not only the website footer (implemented).</w:t>
      </w:r>
    </w:p>
    <w:p>
      <w:pPr>
        <w:pStyle w:val="ListParagraph"/>
        <w:numPr>
          <w:ilvl w:val="0"/>
          <w:numId w:val="2"/>
        </w:numPr>
        <w:spacing w:after="60"/>
      </w:pPr>
      <w:r>
        <w:rPr>
          <w:b/>
          <w:bCs/>
        </w:rPr>
        <w:t xml:space="preserve">Analytical framing — </w:t>
      </w:r>
      <w:r>
        <w:t xml:space="preserve">the Investor Memo’s recommendation section presents factors an investor would weigh — analysis, never a directive to transact (implemented in the framework).</w:t>
      </w:r>
    </w:p>
    <w:p>
      <w:pPr>
        <w:pStyle w:val="ListParagraph"/>
        <w:numPr>
          <w:ilvl w:val="0"/>
          <w:numId w:val="2"/>
        </w:numPr>
        <w:spacing w:after="60"/>
      </w:pPr>
      <w:r>
        <w:rPr>
          <w:b/>
          <w:bCs/>
        </w:rPr>
        <w:t xml:space="preserve">Terms &amp; Privacy — </w:t>
      </w:r>
      <w:r>
        <w:t xml:space="preserve">published before first live payment (Stripe requirement); template pages shipped, attorney review required before launch.</w:t>
      </w:r>
    </w:p>
    <w:p>
      <w:pPr>
        <w:pStyle w:val="ListParagraph"/>
        <w:numPr>
          <w:ilvl w:val="0"/>
          <w:numId w:val="2"/>
        </w:numPr>
        <w:spacing w:after="60"/>
      </w:pPr>
      <w:r>
        <w:rPr>
          <w:b/>
          <w:bCs/>
        </w:rPr>
        <w:t xml:space="preserve">Vertical-specific compliance — </w:t>
      </w:r>
      <w:r>
        <w:t xml:space="preserve">scope procurement, privacy, and health-data rules per vertical before launching TyRey Government™ or TyRey Health™.</w:t>
      </w:r>
    </w:p>
    <w:p>
      <w:pPr>
        <w:spacing w:after="120"/>
      </w:pPr>
      <w:r>
        <w:rPr>
          <w:i/>
          <w:iCs/>
          <w:color w:val="5B6B80"/>
        </w:rPr>
        <w:t xml:space="preserve">Legal documents and disclaimer language require review by a qualified attorney before accepting customer payments.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0"/>
        <w:sz w:val="16"/>
        <w:szCs w:val="16"/>
      </w:rPr>
      <w:t xml:space="preserve">TyRey Technologies, Inc. — Confidential   |   Page </w:t>
    </w:r>
    <w:r>
      <w:rPr>
        <w:color w:val="5B6B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0B1F3A"/>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0B1F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2026-07-04T02:23:17.351Z</dcterms:created>
  <dcterms:modified xsi:type="dcterms:W3CDTF">2026-07-04T02:23:17.368Z</dcterms:modified>
</cp:coreProperties>
</file>

<file path=docProps/custom.xml><?xml version="1.0" encoding="utf-8"?>
<Properties xmlns="http://schemas.openxmlformats.org/officeDocument/2006/custom-properties" xmlns:vt="http://schemas.openxmlformats.org/officeDocument/2006/docPropsVTypes"/>
</file>