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ink/ink2.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98A9" w14:textId="70452361" w:rsidR="0086797B" w:rsidRDefault="0086797B" w:rsidP="00BC6055">
      <w:pPr>
        <w:jc w:val="center"/>
        <w:rPr>
          <w:b/>
          <w:bCs/>
        </w:rPr>
      </w:pPr>
      <w:bookmarkStart w:id="0" w:name="_Hlk108460639"/>
      <w:bookmarkEnd w:id="0"/>
    </w:p>
    <w:p w14:paraId="276B3A60" w14:textId="57AB2B59" w:rsidR="00BC6055" w:rsidRDefault="00BC6055" w:rsidP="00BC6055">
      <w:pPr>
        <w:jc w:val="center"/>
        <w:rPr>
          <w:b/>
          <w:bCs/>
        </w:rPr>
      </w:pPr>
    </w:p>
    <w:p w14:paraId="5CAAD131" w14:textId="2028392B" w:rsidR="00BC6055" w:rsidRDefault="00BC6055" w:rsidP="00BC6055">
      <w:pPr>
        <w:jc w:val="center"/>
        <w:rPr>
          <w:b/>
          <w:bCs/>
        </w:rPr>
      </w:pPr>
    </w:p>
    <w:p w14:paraId="4225DD78" w14:textId="41AE1CEF" w:rsidR="00BC6055" w:rsidRDefault="00BC6055" w:rsidP="00BC6055">
      <w:pPr>
        <w:jc w:val="center"/>
        <w:rPr>
          <w:b/>
          <w:bCs/>
        </w:rPr>
      </w:pPr>
    </w:p>
    <w:p w14:paraId="4F98DC95" w14:textId="36531F37" w:rsidR="00BC6055" w:rsidRDefault="00BC6055" w:rsidP="00BC6055">
      <w:pPr>
        <w:jc w:val="center"/>
        <w:rPr>
          <w:b/>
          <w:bCs/>
        </w:rPr>
      </w:pPr>
    </w:p>
    <w:p w14:paraId="2DE147B7" w14:textId="3688FCF1" w:rsidR="00BC6055" w:rsidRDefault="00BC6055" w:rsidP="00BC6055">
      <w:pPr>
        <w:jc w:val="center"/>
        <w:rPr>
          <w:b/>
          <w:bCs/>
        </w:rPr>
      </w:pPr>
    </w:p>
    <w:p w14:paraId="405C6BA3" w14:textId="349A2DFF" w:rsidR="00BC6055" w:rsidRDefault="00BC6055" w:rsidP="00BC6055">
      <w:pPr>
        <w:jc w:val="center"/>
        <w:rPr>
          <w:b/>
          <w:bCs/>
        </w:rPr>
      </w:pPr>
    </w:p>
    <w:p w14:paraId="19E36B0D" w14:textId="448E9C47" w:rsidR="00BC6055" w:rsidRDefault="00BC6055" w:rsidP="00BC6055">
      <w:pPr>
        <w:jc w:val="center"/>
        <w:rPr>
          <w:b/>
          <w:bCs/>
        </w:rPr>
      </w:pPr>
    </w:p>
    <w:p w14:paraId="2E0E1F5E" w14:textId="6ED62F3D" w:rsidR="00BC6055" w:rsidRDefault="00BC6055" w:rsidP="00BC6055">
      <w:pPr>
        <w:jc w:val="center"/>
        <w:rPr>
          <w:b/>
          <w:bCs/>
        </w:rPr>
      </w:pPr>
    </w:p>
    <w:p w14:paraId="081DA3A6" w14:textId="741BDF02" w:rsidR="00BC6055" w:rsidRDefault="00BC6055" w:rsidP="00BC6055">
      <w:pPr>
        <w:jc w:val="center"/>
        <w:rPr>
          <w:b/>
          <w:bCs/>
        </w:rPr>
      </w:pPr>
    </w:p>
    <w:p w14:paraId="6C474968" w14:textId="062DCD0E" w:rsidR="00BC6055" w:rsidRDefault="00BC6055" w:rsidP="00BC6055">
      <w:pPr>
        <w:jc w:val="center"/>
      </w:pPr>
      <w:r>
        <w:t>Superstore Analysis:</w:t>
      </w:r>
    </w:p>
    <w:p w14:paraId="26205333" w14:textId="18CC223E" w:rsidR="00BC6055" w:rsidRDefault="00BC6055" w:rsidP="00BC6055">
      <w:pPr>
        <w:jc w:val="center"/>
      </w:pPr>
      <w:r>
        <w:t>January 2018 Net Margins</w:t>
      </w:r>
    </w:p>
    <w:p w14:paraId="6A4A6077" w14:textId="29C8C0FE" w:rsidR="00BC6055" w:rsidRDefault="00BC6055" w:rsidP="00BC6055">
      <w:pPr>
        <w:jc w:val="center"/>
      </w:pPr>
      <w:r>
        <w:t>Tyrell Roberts</w:t>
      </w:r>
    </w:p>
    <w:p w14:paraId="024406E3" w14:textId="3684B6F7" w:rsidR="006B2806" w:rsidRPr="006B2806" w:rsidRDefault="00A1573E" w:rsidP="006B2806">
      <w:pPr>
        <w:jc w:val="center"/>
        <w:sectPr w:rsidR="006B2806" w:rsidRPr="006B2806" w:rsidSect="006B2806">
          <w:headerReference w:type="default" r:id="rId8"/>
          <w:headerReference w:type="first" r:id="rId9"/>
          <w:pgSz w:w="12240" w:h="15840"/>
          <w:pgMar w:top="1440" w:right="1440" w:bottom="1440" w:left="1440" w:header="720" w:footer="720" w:gutter="0"/>
          <w:cols w:space="720"/>
          <w:titlePg/>
          <w:docGrid w:linePitch="360"/>
        </w:sectPr>
      </w:pPr>
      <w:r>
        <w:t>July 12, 2022</w:t>
      </w:r>
    </w:p>
    <w:p w14:paraId="41A5C0FD" w14:textId="62BDDCF5" w:rsidR="00BC6055" w:rsidRDefault="00A1573E" w:rsidP="00A1573E">
      <w:pPr>
        <w:jc w:val="center"/>
        <w:rPr>
          <w:b/>
          <w:bCs/>
        </w:rPr>
      </w:pPr>
      <w:r>
        <w:rPr>
          <w:b/>
          <w:bCs/>
        </w:rPr>
        <w:lastRenderedPageBreak/>
        <w:t>Table of Contents</w:t>
      </w:r>
    </w:p>
    <w:p w14:paraId="599996D3" w14:textId="45D8EB9C" w:rsidR="00A1573E" w:rsidRDefault="000D659E" w:rsidP="004B28FC">
      <w:pPr>
        <w:ind w:right="720"/>
      </w:pPr>
      <w:r>
        <w:t>1</w:t>
      </w:r>
      <w:r w:rsidR="00C0392A">
        <w:t xml:space="preserve">: </w:t>
      </w:r>
      <w:r>
        <w:t>Introduction</w:t>
      </w:r>
      <w:r w:rsidR="00964222">
        <w:tab/>
      </w:r>
      <w:r w:rsidR="00B606A3">
        <w:tab/>
      </w:r>
      <w:r w:rsidR="00B606A3">
        <w:tab/>
      </w:r>
      <w:r w:rsidR="00B606A3">
        <w:tab/>
      </w:r>
      <w:r w:rsidR="00B606A3">
        <w:tab/>
      </w:r>
      <w:r w:rsidR="00B606A3">
        <w:tab/>
      </w:r>
      <w:r w:rsidR="00B606A3">
        <w:tab/>
      </w:r>
      <w:r w:rsidR="00B606A3">
        <w:tab/>
      </w:r>
      <w:r w:rsidR="00B606A3">
        <w:tab/>
      </w:r>
      <w:r w:rsidR="00B606A3">
        <w:tab/>
      </w:r>
      <w:r>
        <w:t>1</w:t>
      </w:r>
    </w:p>
    <w:p w14:paraId="691A2B76" w14:textId="73D8B84E" w:rsidR="00C0392A" w:rsidRDefault="00C0392A" w:rsidP="004B28FC">
      <w:pPr>
        <w:ind w:right="720"/>
      </w:pPr>
      <w:r>
        <w:t>2: Analysis</w:t>
      </w:r>
      <w:r w:rsidR="00B606A3">
        <w:tab/>
      </w:r>
      <w:r w:rsidR="00B606A3">
        <w:tab/>
      </w:r>
      <w:r w:rsidR="00B606A3">
        <w:tab/>
      </w:r>
      <w:r w:rsidR="00B606A3">
        <w:tab/>
      </w:r>
      <w:r w:rsidR="00B606A3">
        <w:tab/>
      </w:r>
      <w:r w:rsidR="00B606A3">
        <w:tab/>
      </w:r>
      <w:r w:rsidR="00B606A3">
        <w:tab/>
      </w:r>
      <w:r w:rsidR="00B606A3">
        <w:tab/>
      </w:r>
      <w:r w:rsidR="00B606A3">
        <w:tab/>
      </w:r>
      <w:r w:rsidR="00B606A3">
        <w:tab/>
      </w:r>
      <w:r w:rsidR="00964222">
        <w:t>2</w:t>
      </w:r>
    </w:p>
    <w:p w14:paraId="76728C15" w14:textId="50B873E5" w:rsidR="00C0392A" w:rsidRDefault="00C0392A" w:rsidP="004B28FC">
      <w:pPr>
        <w:ind w:right="720"/>
      </w:pPr>
      <w:r>
        <w:tab/>
        <w:t xml:space="preserve">2.1: </w:t>
      </w:r>
      <w:r w:rsidR="00964222">
        <w:t>Region</w:t>
      </w:r>
      <w:r w:rsidR="00DC03CE">
        <w:t>s</w:t>
      </w:r>
      <w:r w:rsidR="00B606A3">
        <w:tab/>
      </w:r>
      <w:r w:rsidR="00B606A3">
        <w:tab/>
      </w:r>
      <w:r w:rsidR="00B606A3">
        <w:tab/>
      </w:r>
      <w:r w:rsidR="00B606A3">
        <w:tab/>
      </w:r>
      <w:r w:rsidR="00B606A3">
        <w:tab/>
      </w:r>
      <w:r w:rsidR="00B606A3">
        <w:tab/>
      </w:r>
      <w:r w:rsidR="00B606A3">
        <w:tab/>
      </w:r>
      <w:r w:rsidR="00B606A3">
        <w:tab/>
      </w:r>
      <w:r w:rsidR="00B606A3">
        <w:tab/>
      </w:r>
      <w:r w:rsidR="00964222">
        <w:t>2</w:t>
      </w:r>
    </w:p>
    <w:p w14:paraId="4A29994B" w14:textId="59B300ED" w:rsidR="00C0392A" w:rsidRDefault="00C0392A" w:rsidP="004B28FC">
      <w:pPr>
        <w:ind w:right="720"/>
      </w:pPr>
      <w:r>
        <w:tab/>
        <w:t xml:space="preserve">2.2: </w:t>
      </w:r>
      <w:r w:rsidR="00964222">
        <w:t>Central</w:t>
      </w:r>
      <w:r w:rsidR="00B606A3">
        <w:tab/>
      </w:r>
      <w:r w:rsidR="00B606A3">
        <w:tab/>
      </w:r>
      <w:r w:rsidR="00B606A3">
        <w:tab/>
      </w:r>
      <w:r w:rsidR="00B606A3">
        <w:tab/>
      </w:r>
      <w:r w:rsidR="00B606A3">
        <w:tab/>
      </w:r>
      <w:r w:rsidR="00B606A3">
        <w:tab/>
      </w:r>
      <w:r w:rsidR="00B606A3">
        <w:tab/>
      </w:r>
      <w:r w:rsidR="00B606A3">
        <w:tab/>
      </w:r>
      <w:r w:rsidR="00B606A3">
        <w:tab/>
      </w:r>
      <w:r w:rsidR="00964222">
        <w:t>3</w:t>
      </w:r>
    </w:p>
    <w:p w14:paraId="34E048DC" w14:textId="5B051C56" w:rsidR="00964222" w:rsidRDefault="00964222" w:rsidP="004B28FC">
      <w:pPr>
        <w:ind w:right="720"/>
      </w:pPr>
      <w:r>
        <w:tab/>
        <w:t>2.3: East</w:t>
      </w:r>
      <w:r w:rsidR="00B606A3">
        <w:tab/>
      </w:r>
      <w:r w:rsidR="00B606A3">
        <w:tab/>
      </w:r>
      <w:r w:rsidR="00B606A3">
        <w:tab/>
      </w:r>
      <w:r w:rsidR="00B606A3">
        <w:tab/>
      </w:r>
      <w:r w:rsidR="00B606A3">
        <w:tab/>
      </w:r>
      <w:r w:rsidR="00B606A3">
        <w:tab/>
      </w:r>
      <w:r w:rsidR="00B606A3">
        <w:tab/>
      </w:r>
      <w:r w:rsidR="00B606A3">
        <w:tab/>
      </w:r>
      <w:r w:rsidR="00B606A3">
        <w:tab/>
      </w:r>
      <w:r>
        <w:t>3</w:t>
      </w:r>
    </w:p>
    <w:p w14:paraId="569F6751" w14:textId="06D57021" w:rsidR="00964222" w:rsidRDefault="00964222" w:rsidP="004B28FC">
      <w:pPr>
        <w:ind w:right="720"/>
      </w:pPr>
      <w:r>
        <w:tab/>
        <w:t>2.4: South</w:t>
      </w:r>
      <w:r w:rsidR="00B606A3">
        <w:tab/>
      </w:r>
      <w:r w:rsidR="00B606A3">
        <w:tab/>
      </w:r>
      <w:r w:rsidR="00B606A3">
        <w:tab/>
      </w:r>
      <w:r w:rsidR="00B606A3">
        <w:tab/>
      </w:r>
      <w:r w:rsidR="00B606A3">
        <w:tab/>
      </w:r>
      <w:r w:rsidR="00B606A3">
        <w:tab/>
      </w:r>
      <w:r w:rsidR="00B606A3">
        <w:tab/>
      </w:r>
      <w:r w:rsidR="00B606A3">
        <w:tab/>
      </w:r>
      <w:r w:rsidR="00B606A3">
        <w:tab/>
      </w:r>
      <w:r>
        <w:t>5</w:t>
      </w:r>
    </w:p>
    <w:p w14:paraId="00CB59B0" w14:textId="7709EF5C" w:rsidR="00C0392A" w:rsidRDefault="00C0392A" w:rsidP="004B28FC">
      <w:pPr>
        <w:ind w:right="720"/>
      </w:pPr>
      <w:r>
        <w:tab/>
      </w:r>
      <w:r w:rsidR="00964222">
        <w:t>2.5: West</w:t>
      </w:r>
      <w:r w:rsidR="00B606A3">
        <w:tab/>
      </w:r>
      <w:r w:rsidR="00B606A3">
        <w:tab/>
      </w:r>
      <w:r w:rsidR="00B606A3">
        <w:tab/>
      </w:r>
      <w:r w:rsidR="00B606A3">
        <w:tab/>
      </w:r>
      <w:r w:rsidR="00B606A3">
        <w:tab/>
      </w:r>
      <w:r w:rsidR="00B606A3">
        <w:tab/>
      </w:r>
      <w:r w:rsidR="00B606A3">
        <w:tab/>
      </w:r>
      <w:r w:rsidR="00B606A3">
        <w:tab/>
      </w:r>
      <w:r w:rsidR="00B606A3">
        <w:tab/>
      </w:r>
      <w:r w:rsidR="00964222">
        <w:t>5</w:t>
      </w:r>
    </w:p>
    <w:p w14:paraId="2C69FA42" w14:textId="1719E753" w:rsidR="00964222" w:rsidRDefault="00964222" w:rsidP="004B28FC">
      <w:pPr>
        <w:ind w:right="720"/>
      </w:pPr>
      <w:r>
        <w:t>3: Conclusion</w:t>
      </w:r>
      <w:r w:rsidR="00B606A3">
        <w:tab/>
      </w:r>
      <w:r w:rsidR="00B606A3">
        <w:tab/>
      </w:r>
      <w:r w:rsidR="00B606A3">
        <w:tab/>
      </w:r>
      <w:r w:rsidR="00B606A3">
        <w:tab/>
      </w:r>
      <w:r w:rsidR="00B606A3">
        <w:tab/>
      </w:r>
      <w:r w:rsidR="00B606A3">
        <w:tab/>
      </w:r>
      <w:r w:rsidR="00B606A3">
        <w:tab/>
      </w:r>
      <w:r w:rsidR="00B606A3">
        <w:tab/>
      </w:r>
      <w:r w:rsidR="00B606A3">
        <w:tab/>
      </w:r>
      <w:r w:rsidR="00B606A3">
        <w:tab/>
      </w:r>
      <w:r>
        <w:t>6</w:t>
      </w:r>
    </w:p>
    <w:p w14:paraId="705465F3" w14:textId="3D24F803" w:rsidR="00964222" w:rsidRDefault="00964222" w:rsidP="004B28FC">
      <w:pPr>
        <w:ind w:right="720"/>
      </w:pPr>
      <w:r>
        <w:tab/>
        <w:t>3:1 Recommendations</w:t>
      </w:r>
      <w:r w:rsidR="00B606A3">
        <w:tab/>
      </w:r>
      <w:r w:rsidR="00B606A3">
        <w:tab/>
      </w:r>
      <w:r w:rsidR="00B606A3">
        <w:tab/>
      </w:r>
      <w:r w:rsidR="00B606A3">
        <w:tab/>
      </w:r>
      <w:r w:rsidR="00B606A3">
        <w:tab/>
      </w:r>
      <w:r w:rsidR="00B606A3">
        <w:tab/>
      </w:r>
      <w:r w:rsidR="00B606A3">
        <w:tab/>
      </w:r>
      <w:r w:rsidR="00B606A3">
        <w:tab/>
      </w:r>
      <w:r>
        <w:t>6</w:t>
      </w:r>
    </w:p>
    <w:p w14:paraId="6F77A227" w14:textId="5B94AED9" w:rsidR="004B28FC" w:rsidRDefault="004B28FC">
      <w:r>
        <w:t>Appendix</w:t>
      </w:r>
      <w:r>
        <w:tab/>
      </w:r>
      <w:r>
        <w:tab/>
      </w:r>
      <w:r>
        <w:tab/>
      </w:r>
      <w:r>
        <w:tab/>
      </w:r>
      <w:r>
        <w:tab/>
      </w:r>
      <w:r>
        <w:tab/>
      </w:r>
      <w:r>
        <w:tab/>
      </w:r>
      <w:r>
        <w:tab/>
      </w:r>
      <w:r>
        <w:tab/>
      </w:r>
      <w:r>
        <w:tab/>
        <w:t>8</w:t>
      </w:r>
    </w:p>
    <w:p w14:paraId="667F77DA" w14:textId="4F78FC66" w:rsidR="006B2806" w:rsidRDefault="006B2806">
      <w:r>
        <w:br w:type="page"/>
      </w:r>
    </w:p>
    <w:p w14:paraId="191EC662" w14:textId="75700BBE" w:rsidR="006D3024" w:rsidRPr="009F2D23" w:rsidRDefault="009F2D23" w:rsidP="009F2D23">
      <w:pPr>
        <w:rPr>
          <w:b/>
          <w:bCs/>
        </w:rPr>
      </w:pPr>
      <w:r w:rsidRPr="009F2D23">
        <w:rPr>
          <w:b/>
          <w:bCs/>
        </w:rPr>
        <w:lastRenderedPageBreak/>
        <w:t>1.</w:t>
      </w:r>
      <w:r>
        <w:rPr>
          <w:b/>
          <w:bCs/>
        </w:rPr>
        <w:t xml:space="preserve"> </w:t>
      </w:r>
      <w:r w:rsidR="006D3024" w:rsidRPr="009F2D23">
        <w:rPr>
          <w:b/>
          <w:bCs/>
        </w:rPr>
        <w:t>Introduction</w:t>
      </w:r>
    </w:p>
    <w:p w14:paraId="71D4AEF9" w14:textId="15AC38FF" w:rsidR="00990808" w:rsidRDefault="003C3EDE" w:rsidP="00106741">
      <w:pPr>
        <w:spacing w:after="0" w:line="480" w:lineRule="auto"/>
      </w:pPr>
      <w:r>
        <w:tab/>
        <w:t xml:space="preserve"> </w:t>
      </w:r>
      <w:r w:rsidR="00990808" w:rsidRPr="00990808">
        <w:t>The data provided only</w:t>
      </w:r>
      <w:r w:rsidR="00F97E3D">
        <w:t xml:space="preserve"> contains information about</w:t>
      </w:r>
      <w:r w:rsidR="00990808" w:rsidRPr="00990808">
        <w:t xml:space="preserve"> </w:t>
      </w:r>
      <w:r w:rsidR="00397F18">
        <w:t xml:space="preserve">revenue generation in the form of </w:t>
      </w:r>
      <w:r w:rsidR="00DC03CE">
        <w:t>revenue</w:t>
      </w:r>
      <w:r w:rsidR="00990808" w:rsidRPr="00990808">
        <w:t xml:space="preserve"> and profi</w:t>
      </w:r>
      <w:r w:rsidR="00F97E3D">
        <w:t>t</w:t>
      </w:r>
      <w:r w:rsidR="00990808" w:rsidRPr="00990808">
        <w:t xml:space="preserve">. Therefore, it cannot be unequivocally determined whether costs incurred represent COGS or are attributable to all business costs. </w:t>
      </w:r>
      <w:r w:rsidR="008E108C">
        <w:t>Superstore has a</w:t>
      </w:r>
      <w:r w:rsidR="00397F18">
        <w:t>n overall</w:t>
      </w:r>
      <w:r w:rsidR="008E108C">
        <w:t xml:space="preserve"> </w:t>
      </w:r>
      <w:r w:rsidR="00397F18">
        <w:t xml:space="preserve">profit </w:t>
      </w:r>
      <w:r w:rsidR="008E108C">
        <w:t xml:space="preserve">margin of 12.47%. Based on </w:t>
      </w:r>
      <w:r w:rsidR="00603AE0">
        <w:t>ecommerce</w:t>
      </w:r>
      <w:r w:rsidR="00990808" w:rsidRPr="00990808">
        <w:t xml:space="preserve"> </w:t>
      </w:r>
      <w:r w:rsidR="008E108C">
        <w:t xml:space="preserve">industry </w:t>
      </w:r>
      <w:r w:rsidR="00990808" w:rsidRPr="00990808">
        <w:t>average</w:t>
      </w:r>
      <w:r w:rsidR="00397F18">
        <w:t>s,</w:t>
      </w:r>
      <w:r w:rsidR="00990808" w:rsidRPr="00990808">
        <w:t xml:space="preserve"> gross </w:t>
      </w:r>
      <w:r w:rsidR="008E108C">
        <w:t>margin</w:t>
      </w:r>
      <w:r w:rsidR="00397F18">
        <w:t xml:space="preserve">s of </w:t>
      </w:r>
      <w:r w:rsidR="008E108C">
        <w:t xml:space="preserve">30-45% </w:t>
      </w:r>
      <w:r w:rsidR="00990808" w:rsidRPr="00990808">
        <w:t>and net margin</w:t>
      </w:r>
      <w:r w:rsidR="00397F18">
        <w:t>s</w:t>
      </w:r>
      <w:r w:rsidR="00990808" w:rsidRPr="00990808">
        <w:t xml:space="preserve"> </w:t>
      </w:r>
      <w:r w:rsidR="00397F18">
        <w:t>of</w:t>
      </w:r>
      <w:r w:rsidR="008E108C">
        <w:t xml:space="preserve"> 5-10%, </w:t>
      </w:r>
      <w:r w:rsidR="00990808" w:rsidRPr="00990808">
        <w:t xml:space="preserve">it is </w:t>
      </w:r>
      <w:r w:rsidR="00C338BE">
        <w:t>reasoned</w:t>
      </w:r>
      <w:r w:rsidR="00990808" w:rsidRPr="00990808">
        <w:t xml:space="preserve"> that costs represent all business costs. Therefore, the data and interpretation of it is based on net margin.</w:t>
      </w:r>
      <w:r w:rsidR="00990808">
        <w:t xml:space="preserve"> </w:t>
      </w:r>
    </w:p>
    <w:p w14:paraId="59FE8FE8" w14:textId="0BA25156" w:rsidR="00C338BE" w:rsidRDefault="00990808" w:rsidP="00603AE0">
      <w:pPr>
        <w:spacing w:after="0" w:line="480" w:lineRule="auto"/>
      </w:pPr>
      <w:r>
        <w:tab/>
      </w:r>
      <w:r w:rsidR="00EA7365">
        <w:t xml:space="preserve">Figure 1 </w:t>
      </w:r>
      <w:r w:rsidR="00A935FC">
        <w:t>shows</w:t>
      </w:r>
      <w:r w:rsidR="006D3024">
        <w:t xml:space="preserve"> Superstore net margins</w:t>
      </w:r>
      <w:r w:rsidR="00EA7365">
        <w:t xml:space="preserve"> by month</w:t>
      </w:r>
      <w:r w:rsidR="006D3024">
        <w:t xml:space="preserve">, January 2018 presents a clear concern. It is </w:t>
      </w:r>
      <w:r w:rsidR="00302021">
        <w:t>a</w:t>
      </w:r>
      <w:r w:rsidR="00BD6D4C">
        <w:t xml:space="preserve"> statistical</w:t>
      </w:r>
      <w:r w:rsidR="00302021">
        <w:t xml:space="preserve"> outlier and represents the single largest monthly loss in a four-year period.</w:t>
      </w:r>
      <w:r w:rsidR="00F97E3D">
        <w:t xml:space="preserve"> </w:t>
      </w:r>
      <w:r w:rsidR="00603AE0">
        <w:t>Th</w:t>
      </w:r>
      <w:r w:rsidR="00927C95">
        <w:t>is</w:t>
      </w:r>
      <w:r w:rsidR="00603AE0">
        <w:t xml:space="preserve"> analysis </w:t>
      </w:r>
      <w:r w:rsidR="00927C95">
        <w:t>digs through</w:t>
      </w:r>
      <w:r w:rsidR="00603AE0">
        <w:t xml:space="preserve"> the various regions and states within them to identify the underlying causes of this loss</w:t>
      </w:r>
      <w:r w:rsidR="00927C95">
        <w:t>,</w:t>
      </w:r>
      <w:r w:rsidR="00603AE0">
        <w:t xml:space="preserve"> to ensure these results remain an aberration. </w:t>
      </w:r>
    </w:p>
    <w:p w14:paraId="3E7E6379" w14:textId="3C1AE3BD" w:rsidR="00C338BE" w:rsidRDefault="00C31DD1" w:rsidP="00C338BE">
      <w:pPr>
        <w:rPr>
          <w:sz w:val="20"/>
          <w:szCs w:val="20"/>
        </w:rPr>
      </w:pPr>
      <w:r w:rsidRPr="00C31DD1">
        <w:rPr>
          <w:b/>
          <w:bCs/>
          <w:noProof/>
          <w:sz w:val="20"/>
          <w:szCs w:val="20"/>
        </w:rPr>
        <w:drawing>
          <wp:inline distT="0" distB="0" distL="0" distR="0" wp14:anchorId="65EF8E5F" wp14:editId="2DFDF82B">
            <wp:extent cx="5943600" cy="3623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3945"/>
                    </a:xfrm>
                    <a:prstGeom prst="rect">
                      <a:avLst/>
                    </a:prstGeom>
                  </pic:spPr>
                </pic:pic>
              </a:graphicData>
            </a:graphic>
          </wp:inline>
        </w:drawing>
      </w:r>
      <w:r w:rsidR="00C338BE" w:rsidRPr="00C338BE">
        <w:rPr>
          <w:b/>
          <w:bCs/>
          <w:sz w:val="20"/>
          <w:szCs w:val="20"/>
        </w:rPr>
        <w:t xml:space="preserve"> </w:t>
      </w:r>
      <w:r w:rsidR="00C338BE" w:rsidRPr="00307EF4">
        <w:rPr>
          <w:b/>
          <w:bCs/>
          <w:sz w:val="20"/>
          <w:szCs w:val="20"/>
        </w:rPr>
        <w:t xml:space="preserve">Figure </w:t>
      </w:r>
      <w:r w:rsidR="00C338BE">
        <w:rPr>
          <w:b/>
          <w:bCs/>
          <w:sz w:val="20"/>
          <w:szCs w:val="20"/>
        </w:rPr>
        <w:t>1</w:t>
      </w:r>
      <w:r w:rsidR="00C338BE">
        <w:rPr>
          <w:sz w:val="20"/>
          <w:szCs w:val="20"/>
        </w:rPr>
        <w:t>:</w:t>
      </w:r>
      <w:r w:rsidR="00C338BE" w:rsidRPr="00307EF4">
        <w:rPr>
          <w:sz w:val="20"/>
          <w:szCs w:val="20"/>
        </w:rPr>
        <w:t xml:space="preserve"> </w:t>
      </w:r>
      <w:r>
        <w:rPr>
          <w:sz w:val="20"/>
          <w:szCs w:val="20"/>
        </w:rPr>
        <w:t xml:space="preserve">Line </w:t>
      </w:r>
      <w:r w:rsidR="00C338BE" w:rsidRPr="00307EF4">
        <w:rPr>
          <w:sz w:val="20"/>
          <w:szCs w:val="20"/>
        </w:rPr>
        <w:t>chart representing monthly net margins between 2017 and 2020.</w:t>
      </w:r>
      <w:r w:rsidR="00C338BE">
        <w:rPr>
          <w:sz w:val="20"/>
          <w:szCs w:val="20"/>
        </w:rPr>
        <w:t xml:space="preserve"> Green represents net margin at or above 10%, orange represents net margin </w:t>
      </w:r>
      <w:r w:rsidR="007B00B3">
        <w:rPr>
          <w:sz w:val="20"/>
          <w:szCs w:val="20"/>
        </w:rPr>
        <w:t xml:space="preserve">below 10% but </w:t>
      </w:r>
      <w:r>
        <w:rPr>
          <w:sz w:val="20"/>
          <w:szCs w:val="20"/>
        </w:rPr>
        <w:t xml:space="preserve">above </w:t>
      </w:r>
      <w:r w:rsidR="007B00B3">
        <w:rPr>
          <w:sz w:val="20"/>
          <w:szCs w:val="20"/>
        </w:rPr>
        <w:t>5%</w:t>
      </w:r>
      <w:r>
        <w:rPr>
          <w:sz w:val="20"/>
          <w:szCs w:val="20"/>
        </w:rPr>
        <w:t>,</w:t>
      </w:r>
      <w:r w:rsidR="00C338BE">
        <w:rPr>
          <w:sz w:val="20"/>
          <w:szCs w:val="20"/>
        </w:rPr>
        <w:t xml:space="preserve"> and red represents net margin</w:t>
      </w:r>
      <w:r w:rsidR="007B00B3">
        <w:rPr>
          <w:sz w:val="20"/>
          <w:szCs w:val="20"/>
        </w:rPr>
        <w:t xml:space="preserve"> below 5%</w:t>
      </w:r>
      <w:r w:rsidR="00C338BE">
        <w:rPr>
          <w:sz w:val="20"/>
          <w:szCs w:val="20"/>
        </w:rPr>
        <w:t>.</w:t>
      </w:r>
    </w:p>
    <w:p w14:paraId="57CEF137" w14:textId="2B6E106C" w:rsidR="00B27273" w:rsidRDefault="00B27273" w:rsidP="006D3024">
      <w:pPr>
        <w:rPr>
          <w:sz w:val="20"/>
          <w:szCs w:val="20"/>
        </w:rPr>
      </w:pPr>
    </w:p>
    <w:p w14:paraId="1C5E47D3" w14:textId="280933D1" w:rsidR="00B27273" w:rsidRDefault="009F2D23" w:rsidP="00B060EB">
      <w:pPr>
        <w:spacing w:line="480" w:lineRule="auto"/>
        <w:rPr>
          <w:b/>
          <w:bCs/>
        </w:rPr>
      </w:pPr>
      <w:r>
        <w:rPr>
          <w:b/>
          <w:bCs/>
        </w:rPr>
        <w:lastRenderedPageBreak/>
        <w:t>2. Analysis</w:t>
      </w:r>
    </w:p>
    <w:p w14:paraId="04159EFD" w14:textId="717D7ADD" w:rsidR="009F2D23" w:rsidRPr="00324FCB" w:rsidRDefault="009F2D23" w:rsidP="0047235A">
      <w:pPr>
        <w:spacing w:after="0" w:line="480" w:lineRule="auto"/>
      </w:pPr>
      <w:r w:rsidRPr="00324FCB">
        <w:t>2.1 Region</w:t>
      </w:r>
      <w:r w:rsidR="00DC03CE">
        <w:t>s</w:t>
      </w:r>
    </w:p>
    <w:p w14:paraId="4B15E5A2" w14:textId="4F7AD7F5" w:rsidR="009F2D23" w:rsidRDefault="009F2D23" w:rsidP="0081236A">
      <w:pPr>
        <w:spacing w:after="0" w:line="480" w:lineRule="auto"/>
      </w:pPr>
      <w:r>
        <w:tab/>
      </w:r>
      <w:r w:rsidR="001164B9">
        <w:t>Figure 2</w:t>
      </w:r>
      <w:r w:rsidR="00502709">
        <w:t>.1</w:t>
      </w:r>
      <w:r w:rsidR="001164B9">
        <w:t xml:space="preserve"> displays net margin by region for the month of January 2018. In this figure it is clear that all regions performed below</w:t>
      </w:r>
      <w:r w:rsidR="00927C95">
        <w:t xml:space="preserve"> </w:t>
      </w:r>
      <w:r w:rsidR="001164B9">
        <w:t>average with the only profitable region being the West with a net margin of 9.96%, just below the 10% benchmark.</w:t>
      </w:r>
      <w:r w:rsidR="00CB2299">
        <w:t xml:space="preserve"> </w:t>
      </w:r>
      <w:r w:rsidR="001C72E2">
        <w:t xml:space="preserve">A portion of </w:t>
      </w:r>
      <w:r w:rsidR="00C957DC">
        <w:t xml:space="preserve">January 2018’s </w:t>
      </w:r>
      <w:r w:rsidR="001C72E2">
        <w:t>poor performance can be attributed to poor performance in January</w:t>
      </w:r>
      <w:r w:rsidR="00C957DC">
        <w:t>,</w:t>
      </w:r>
      <w:r w:rsidR="001C72E2">
        <w:t xml:space="preserve"> </w:t>
      </w:r>
      <w:r w:rsidR="00C957DC">
        <w:t xml:space="preserve">overall, </w:t>
      </w:r>
      <w:r w:rsidR="001C72E2">
        <w:t>compared to other months.</w:t>
      </w:r>
      <w:r w:rsidR="006B6714">
        <w:t xml:space="preserve"> </w:t>
      </w:r>
      <w:r w:rsidR="001C72E2">
        <w:t xml:space="preserve">Over the four-year period, January </w:t>
      </w:r>
      <w:r w:rsidR="00C957DC">
        <w:t>is third worst</w:t>
      </w:r>
      <w:r w:rsidR="001C72E2">
        <w:t xml:space="preserve"> in average net margin</w:t>
      </w:r>
      <w:r w:rsidR="000119C9">
        <w:rPr>
          <w:rStyle w:val="FootnoteReference"/>
        </w:rPr>
        <w:footnoteReference w:id="1"/>
      </w:r>
      <w:r w:rsidR="001C72E2">
        <w:t xml:space="preserve"> and second </w:t>
      </w:r>
      <w:r w:rsidR="00C957DC">
        <w:t>worst</w:t>
      </w:r>
      <w:r w:rsidR="00324FCB">
        <w:t xml:space="preserve"> in average </w:t>
      </w:r>
      <w:r w:rsidR="00C957DC">
        <w:t>revenue</w:t>
      </w:r>
      <w:r w:rsidR="00324FCB">
        <w:t>.</w:t>
      </w:r>
      <w:r w:rsidR="001C72E2">
        <w:t xml:space="preserve"> </w:t>
      </w:r>
      <w:r w:rsidR="008F566F">
        <w:t xml:space="preserve">However, net margin for the month of January </w:t>
      </w:r>
      <w:r w:rsidR="00927C95">
        <w:t xml:space="preserve">in the other three years </w:t>
      </w:r>
      <w:r w:rsidR="008F566F">
        <w:t xml:space="preserve">is positive so this can’t be the only cause. </w:t>
      </w:r>
    </w:p>
    <w:p w14:paraId="0C4FB8A9" w14:textId="60C6A015" w:rsidR="00CC01AB" w:rsidRDefault="00143DA9" w:rsidP="0081236A">
      <w:pPr>
        <w:spacing w:after="0" w:line="240" w:lineRule="auto"/>
      </w:pPr>
      <w:r w:rsidRPr="00143DA9">
        <w:rPr>
          <w:noProof/>
        </w:rPr>
        <w:drawing>
          <wp:inline distT="0" distB="0" distL="0" distR="0" wp14:anchorId="3EF84096" wp14:editId="26EAE65B">
            <wp:extent cx="5829300" cy="37523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3840" cy="3755222"/>
                    </a:xfrm>
                    <a:prstGeom prst="rect">
                      <a:avLst/>
                    </a:prstGeom>
                  </pic:spPr>
                </pic:pic>
              </a:graphicData>
            </a:graphic>
          </wp:inline>
        </w:drawing>
      </w:r>
    </w:p>
    <w:p w14:paraId="50F615D7" w14:textId="623BAD60" w:rsidR="00B958C0" w:rsidRDefault="00B958C0" w:rsidP="0081236A">
      <w:pPr>
        <w:spacing w:line="240" w:lineRule="auto"/>
        <w:rPr>
          <w:sz w:val="20"/>
          <w:szCs w:val="20"/>
        </w:rPr>
      </w:pPr>
      <w:r w:rsidRPr="00B958C0">
        <w:rPr>
          <w:b/>
          <w:bCs/>
          <w:sz w:val="20"/>
          <w:szCs w:val="20"/>
        </w:rPr>
        <w:t>Figure 2</w:t>
      </w:r>
      <w:r w:rsidR="00502709">
        <w:rPr>
          <w:b/>
          <w:bCs/>
          <w:sz w:val="20"/>
          <w:szCs w:val="20"/>
        </w:rPr>
        <w:t>.1</w:t>
      </w:r>
      <w:r>
        <w:rPr>
          <w:sz w:val="20"/>
          <w:szCs w:val="20"/>
        </w:rPr>
        <w:t>: Bar chart representing regional net margins for January 2018. Blue lines represent average net margin for each region between 2017 and 2020</w:t>
      </w:r>
      <w:r w:rsidR="0081236A">
        <w:rPr>
          <w:sz w:val="20"/>
          <w:szCs w:val="20"/>
        </w:rPr>
        <w:t>.</w:t>
      </w:r>
    </w:p>
    <w:p w14:paraId="65BF79A3" w14:textId="77777777" w:rsidR="00601971" w:rsidRDefault="00601971" w:rsidP="008F566F">
      <w:pPr>
        <w:spacing w:after="0" w:line="480" w:lineRule="auto"/>
        <w:rPr>
          <w:sz w:val="20"/>
          <w:szCs w:val="20"/>
        </w:rPr>
      </w:pPr>
    </w:p>
    <w:p w14:paraId="506C8E4D" w14:textId="2EF7713A" w:rsidR="00106741" w:rsidRDefault="00106741" w:rsidP="008F566F">
      <w:pPr>
        <w:spacing w:after="0" w:line="480" w:lineRule="auto"/>
      </w:pPr>
      <w:r>
        <w:lastRenderedPageBreak/>
        <w:t>2.2 Central</w:t>
      </w:r>
    </w:p>
    <w:p w14:paraId="36A64670" w14:textId="613A9E42" w:rsidR="008F566F" w:rsidRDefault="0081236A" w:rsidP="00E64E2C">
      <w:pPr>
        <w:spacing w:after="0" w:line="480" w:lineRule="auto"/>
      </w:pPr>
      <w:r>
        <w:tab/>
        <w:t xml:space="preserve">The Central region </w:t>
      </w:r>
      <w:r w:rsidR="00B060EB">
        <w:t xml:space="preserve">accounted for the </w:t>
      </w:r>
      <w:r w:rsidR="00E64E2C">
        <w:t>smallest</w:t>
      </w:r>
      <w:r w:rsidR="00B060EB">
        <w:t xml:space="preserve"> loss in January 2018, Figure 2</w:t>
      </w:r>
      <w:r w:rsidR="00502709">
        <w:t>.2</w:t>
      </w:r>
      <w:r w:rsidR="00B060EB">
        <w:t xml:space="preserve"> shows the net margin</w:t>
      </w:r>
      <w:r w:rsidR="005200A9">
        <w:t xml:space="preserve"> for</w:t>
      </w:r>
      <w:r w:rsidR="00E64E2C">
        <w:t xml:space="preserve"> Central</w:t>
      </w:r>
      <w:r w:rsidR="005200A9">
        <w:t xml:space="preserve"> </w:t>
      </w:r>
      <w:r w:rsidR="00B060EB">
        <w:t>states</w:t>
      </w:r>
      <w:r w:rsidR="00E64E2C">
        <w:t xml:space="preserve"> with sales that month</w:t>
      </w:r>
      <w:r w:rsidR="00B060EB">
        <w:t xml:space="preserve">. </w:t>
      </w:r>
      <w:r w:rsidR="00E64E2C">
        <w:t>Transactions</w:t>
      </w:r>
      <w:r w:rsidR="005200A9">
        <w:t xml:space="preserve"> in Minnesota produced an </w:t>
      </w:r>
      <w:r w:rsidR="00254986">
        <w:t>excellent</w:t>
      </w:r>
      <w:r w:rsidR="005200A9">
        <w:t xml:space="preserve"> 43.37% net margin, </w:t>
      </w:r>
      <w:r w:rsidR="00254986">
        <w:t>but due to low sales in the area ($171.50) it did little to counteract losses</w:t>
      </w:r>
      <w:r w:rsidR="00A935FC">
        <w:t xml:space="preserve"> from sales</w:t>
      </w:r>
      <w:r w:rsidR="00254986">
        <w:t xml:space="preserve"> </w:t>
      </w:r>
      <w:r w:rsidR="00C321D9">
        <w:t>i</w:t>
      </w:r>
      <w:r w:rsidR="00FA6F0E">
        <w:t xml:space="preserve">n </w:t>
      </w:r>
      <w:r w:rsidR="00254986">
        <w:t xml:space="preserve">Illinois and Texas. </w:t>
      </w:r>
      <w:r w:rsidR="00C31EFF">
        <w:t xml:space="preserve">Sales in </w:t>
      </w:r>
      <w:r w:rsidR="00C321D9">
        <w:t xml:space="preserve">Illinois produced </w:t>
      </w:r>
      <w:r w:rsidR="004B1F47">
        <w:t xml:space="preserve">$254.74 of </w:t>
      </w:r>
      <w:r w:rsidR="00C31EFF">
        <w:t>revenue</w:t>
      </w:r>
      <w:r w:rsidR="00A935FC">
        <w:t xml:space="preserve"> with $312.06 of loss</w:t>
      </w:r>
      <w:r w:rsidR="00E64E2C">
        <w:t>,</w:t>
      </w:r>
      <w:r w:rsidR="00A935FC">
        <w:t xml:space="preserve"> all generated from the sale of </w:t>
      </w:r>
      <w:r w:rsidR="00E64E2C">
        <w:t>seven</w:t>
      </w:r>
      <w:r w:rsidR="00A935FC">
        <w:t xml:space="preserve"> chair mats at a 60% discount.</w:t>
      </w:r>
      <w:r w:rsidR="004B1F47">
        <w:t xml:space="preserve"> </w:t>
      </w:r>
      <w:r w:rsidR="00C31EFF">
        <w:t xml:space="preserve">Sales in </w:t>
      </w:r>
      <w:r w:rsidR="004B1F47">
        <w:t>Texas</w:t>
      </w:r>
      <w:r w:rsidR="00C31EFF">
        <w:t xml:space="preserve"> created</w:t>
      </w:r>
      <w:r w:rsidR="004B1F47">
        <w:t xml:space="preserve"> $2,084.24 of </w:t>
      </w:r>
      <w:r w:rsidR="00C31EFF">
        <w:t>revenue with</w:t>
      </w:r>
      <w:r w:rsidR="009A70EC">
        <w:t xml:space="preserve"> $365.16 in losses</w:t>
      </w:r>
      <w:r w:rsidR="009A5529">
        <w:t>.</w:t>
      </w:r>
      <w:r w:rsidR="00C267A4">
        <w:t xml:space="preserve"> Losses in Texas mainly</w:t>
      </w:r>
      <w:r w:rsidR="00E64E2C">
        <w:t xml:space="preserve"> stemmed</w:t>
      </w:r>
      <w:r w:rsidR="00C267A4">
        <w:t xml:space="preserve"> from the sale of </w:t>
      </w:r>
      <w:r w:rsidR="00E64E2C">
        <w:t>nine</w:t>
      </w:r>
      <w:r w:rsidR="00C267A4">
        <w:t xml:space="preserve"> bookcases at a 32% discount creat</w:t>
      </w:r>
      <w:r w:rsidR="00525B93">
        <w:t>ing</w:t>
      </w:r>
      <w:r w:rsidR="00C267A4">
        <w:t xml:space="preserve"> $437.54 of loss.</w:t>
      </w:r>
      <w:r w:rsidR="009A70EC">
        <w:t xml:space="preserve"> </w:t>
      </w:r>
      <w:r w:rsidR="00C267A4">
        <w:t xml:space="preserve">Without these </w:t>
      </w:r>
      <w:r w:rsidR="00260B99">
        <w:t xml:space="preserve">two </w:t>
      </w:r>
      <w:r w:rsidR="00C267A4">
        <w:t>sales</w:t>
      </w:r>
      <w:r w:rsidR="00260B99">
        <w:t>,</w:t>
      </w:r>
      <w:r w:rsidR="00C267A4">
        <w:t xml:space="preserve"> net margin for the region would have been 16.24%.</w:t>
      </w:r>
      <w:r w:rsidR="00330F5C">
        <w:t xml:space="preserve"> Lower than average sales</w:t>
      </w:r>
      <w:r w:rsidR="00E060F9">
        <w:t xml:space="preserve"> (IL -85%, MN -71%, TX -41%) </w:t>
      </w:r>
      <w:r w:rsidR="00330F5C">
        <w:t xml:space="preserve"> combined with big losses</w:t>
      </w:r>
      <w:r w:rsidR="00B60D05">
        <w:t xml:space="preserve"> </w:t>
      </w:r>
      <w:r w:rsidR="00E061D2">
        <w:t xml:space="preserve">greatly contributed to </w:t>
      </w:r>
      <w:r w:rsidR="00260B99">
        <w:t>poor performance</w:t>
      </w:r>
      <w:r w:rsidR="000119C9">
        <w:t xml:space="preserve"> in the region.</w:t>
      </w:r>
      <w:r w:rsidR="00330F5C">
        <w:t xml:space="preserve"> </w:t>
      </w:r>
    </w:p>
    <w:p w14:paraId="3B6606A5" w14:textId="3D4E87A2" w:rsidR="0012640A" w:rsidRDefault="00E11768" w:rsidP="00143DA9">
      <w:pPr>
        <w:spacing w:after="0" w:line="240" w:lineRule="auto"/>
      </w:pPr>
      <w:r w:rsidRPr="00E11768">
        <w:rPr>
          <w:noProof/>
        </w:rPr>
        <w:drawing>
          <wp:inline distT="0" distB="0" distL="0" distR="0" wp14:anchorId="08B6149E" wp14:editId="35E1B55D">
            <wp:extent cx="5860830" cy="30575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9143" cy="3061862"/>
                    </a:xfrm>
                    <a:prstGeom prst="rect">
                      <a:avLst/>
                    </a:prstGeom>
                  </pic:spPr>
                </pic:pic>
              </a:graphicData>
            </a:graphic>
          </wp:inline>
        </w:drawing>
      </w:r>
    </w:p>
    <w:p w14:paraId="0EB012D4" w14:textId="49D6D109" w:rsidR="00E64E2C" w:rsidRPr="00E64E2C" w:rsidRDefault="002D7366" w:rsidP="00603AE0">
      <w:pPr>
        <w:spacing w:line="480" w:lineRule="auto"/>
        <w:rPr>
          <w:sz w:val="20"/>
          <w:szCs w:val="20"/>
        </w:rPr>
      </w:pPr>
      <w:r>
        <w:rPr>
          <w:b/>
          <w:bCs/>
          <w:sz w:val="20"/>
          <w:szCs w:val="20"/>
        </w:rPr>
        <w:t>Figure 2.2</w:t>
      </w:r>
      <w:r>
        <w:rPr>
          <w:sz w:val="20"/>
          <w:szCs w:val="20"/>
        </w:rPr>
        <w:t xml:space="preserve">:Bar chart displaying net margin for </w:t>
      </w:r>
      <w:r w:rsidR="008A4E05">
        <w:rPr>
          <w:sz w:val="20"/>
          <w:szCs w:val="20"/>
        </w:rPr>
        <w:t xml:space="preserve">Central </w:t>
      </w:r>
      <w:r>
        <w:rPr>
          <w:sz w:val="20"/>
          <w:szCs w:val="20"/>
        </w:rPr>
        <w:t>states with sales in January 2018.</w:t>
      </w:r>
    </w:p>
    <w:p w14:paraId="3298A790" w14:textId="045FC4B1" w:rsidR="00106741" w:rsidRDefault="009B5C2E" w:rsidP="00B60D05">
      <w:pPr>
        <w:spacing w:after="0" w:line="480" w:lineRule="auto"/>
      </w:pPr>
      <w:r>
        <w:t>2.3 East</w:t>
      </w:r>
    </w:p>
    <w:p w14:paraId="5B3DB814" w14:textId="5B280161" w:rsidR="009B5C2E" w:rsidRDefault="009B5C2E" w:rsidP="008E3CEA">
      <w:pPr>
        <w:spacing w:after="0" w:line="480" w:lineRule="auto"/>
      </w:pPr>
      <w:r>
        <w:tab/>
        <w:t>The Eastern region accounted for the second highest loss in January 2018, Figure 2.</w:t>
      </w:r>
      <w:r w:rsidR="00502709">
        <w:t>3</w:t>
      </w:r>
      <w:r>
        <w:t xml:space="preserve"> </w:t>
      </w:r>
      <w:r w:rsidR="009A70EC">
        <w:t>depicts</w:t>
      </w:r>
      <w:r>
        <w:t xml:space="preserve"> net margin for </w:t>
      </w:r>
      <w:r w:rsidR="00260B99">
        <w:t xml:space="preserve">Southern </w:t>
      </w:r>
      <w:r>
        <w:t>states</w:t>
      </w:r>
      <w:r w:rsidR="00260B99">
        <w:t xml:space="preserve"> </w:t>
      </w:r>
      <w:r w:rsidR="009A70EC">
        <w:t>with sales that month</w:t>
      </w:r>
      <w:r>
        <w:t xml:space="preserve">. </w:t>
      </w:r>
      <w:r w:rsidR="00525B93">
        <w:t>Net margin</w:t>
      </w:r>
      <w:r w:rsidR="006D7599">
        <w:t>s</w:t>
      </w:r>
      <w:r w:rsidR="00525B93">
        <w:t xml:space="preserve"> </w:t>
      </w:r>
      <w:r w:rsidR="006D7599">
        <w:t>from</w:t>
      </w:r>
      <w:r w:rsidR="00525B93">
        <w:t xml:space="preserve"> Delaware </w:t>
      </w:r>
      <w:r w:rsidR="006D7599">
        <w:t>and Massachusetts were good</w:t>
      </w:r>
      <w:r w:rsidR="00260B99">
        <w:t>,</w:t>
      </w:r>
      <w:r w:rsidR="006D7599">
        <w:t xml:space="preserve"> but </w:t>
      </w:r>
      <w:r w:rsidR="00596623">
        <w:t xml:space="preserve">relatively </w:t>
      </w:r>
      <w:r w:rsidR="006D7599">
        <w:t>low sales</w:t>
      </w:r>
      <w:r w:rsidR="00596623">
        <w:t xml:space="preserve"> (DE - $580.51, MA - $6.67) </w:t>
      </w:r>
      <w:r w:rsidR="006D7599">
        <w:t>in these areas</w:t>
      </w:r>
      <w:r w:rsidR="00596623">
        <w:t xml:space="preserve"> did </w:t>
      </w:r>
      <w:r w:rsidR="00596623">
        <w:lastRenderedPageBreak/>
        <w:t xml:space="preserve">little to offset the large losses generated </w:t>
      </w:r>
      <w:r w:rsidR="008E3CEA">
        <w:t>in</w:t>
      </w:r>
      <w:r w:rsidR="00596623">
        <w:t xml:space="preserve"> New York and Ohio. Revenue from New York was $1</w:t>
      </w:r>
      <w:r w:rsidR="0009568B">
        <w:t>,</w:t>
      </w:r>
      <w:r w:rsidR="00596623">
        <w:t>108.29 with $345.01 worth of losses</w:t>
      </w:r>
      <w:r w:rsidR="00CC6D68">
        <w:t>.</w:t>
      </w:r>
      <w:r w:rsidR="00596623">
        <w:t xml:space="preserve"> </w:t>
      </w:r>
      <w:r w:rsidR="00CC6D68">
        <w:t>A</w:t>
      </w:r>
      <w:r w:rsidR="00596623">
        <w:t xml:space="preserve">ll </w:t>
      </w:r>
      <w:r w:rsidR="00CC6D68">
        <w:t xml:space="preserve">losses in New York were </w:t>
      </w:r>
      <w:r w:rsidR="00596623">
        <w:t xml:space="preserve">from the </w:t>
      </w:r>
      <w:r w:rsidR="00CC6D68">
        <w:t>sale of 4 conference tables at a 40% discount which created a loss of $373.30. Sales in Ohio generated $2</w:t>
      </w:r>
      <w:r w:rsidR="0009568B">
        <w:t>,</w:t>
      </w:r>
      <w:r w:rsidR="00CC6D68">
        <w:t>975.59 in revenue with $1,445.84 in losses. Losses in Ohio were due to various</w:t>
      </w:r>
      <w:r w:rsidR="002B52B5">
        <w:t xml:space="preserve"> products within three</w:t>
      </w:r>
      <w:r w:rsidR="00CC6D68">
        <w:t xml:space="preserve"> transactions</w:t>
      </w:r>
      <w:r w:rsidR="00260B99">
        <w:t>,</w:t>
      </w:r>
      <w:r w:rsidR="00CC6D68">
        <w:t xml:space="preserve"> but three of the </w:t>
      </w:r>
      <w:r w:rsidR="002B52B5">
        <w:t>products generated significantly more loss than the others</w:t>
      </w:r>
      <w:r w:rsidR="00CC6D68">
        <w:t xml:space="preserve">. The largest loss came from the sale of </w:t>
      </w:r>
      <w:r w:rsidR="000C6C71">
        <w:t>nine</w:t>
      </w:r>
      <w:r w:rsidR="00CC6D68">
        <w:t xml:space="preserve"> video phones at a 70% discount</w:t>
      </w:r>
      <w:r w:rsidR="002B52B5">
        <w:t xml:space="preserve"> </w:t>
      </w:r>
      <w:r w:rsidR="00CC6D68">
        <w:t>resulting in a $950</w:t>
      </w:r>
      <w:r w:rsidR="002B52B5">
        <w:t>.40</w:t>
      </w:r>
      <w:r w:rsidR="00CC6D68">
        <w:t xml:space="preserve"> loss. </w:t>
      </w:r>
      <w:r w:rsidR="000C6C71">
        <w:t>The second largest loss was a part of the same transaction, it came from the sale of five</w:t>
      </w:r>
      <w:r w:rsidR="00CC6D68">
        <w:t xml:space="preserve"> </w:t>
      </w:r>
      <w:r w:rsidR="000C6C71">
        <w:t>bookcases at a 50% discount creating a $244.32 loss. The third largest loss in Ohio came from the sale of 4 VoIP phones at a 40% discount and producing a loss of $100.79. Without these</w:t>
      </w:r>
      <w:r w:rsidR="001E5E71">
        <w:t xml:space="preserve"> </w:t>
      </w:r>
      <w:r w:rsidR="006B7581">
        <w:t>four-sales net</w:t>
      </w:r>
      <w:r w:rsidR="000C6C71">
        <w:t xml:space="preserve"> margin for the region would have </w:t>
      </w:r>
      <w:r w:rsidR="001E5E71">
        <w:t xml:space="preserve">been </w:t>
      </w:r>
      <w:r w:rsidR="006B7581">
        <w:t>2.24%. Lower than average sales in New York and Massachusetts</w:t>
      </w:r>
      <w:r w:rsidR="00B60D05">
        <w:t xml:space="preserve"> (NY -83%, MA -99%)</w:t>
      </w:r>
      <w:r w:rsidR="006B7581">
        <w:t xml:space="preserve"> </w:t>
      </w:r>
      <w:r w:rsidR="0047235A">
        <w:t>and</w:t>
      </w:r>
      <w:r w:rsidR="006B7581">
        <w:t xml:space="preserve"> large losses on account of </w:t>
      </w:r>
      <w:r w:rsidR="0047235A">
        <w:t xml:space="preserve">sizeable discounts were the main contributors of the Eastern </w:t>
      </w:r>
      <w:r w:rsidR="008F566F">
        <w:t>region’s</w:t>
      </w:r>
      <w:r w:rsidR="0047235A">
        <w:t xml:space="preserve"> poor performance. </w:t>
      </w:r>
      <w:r w:rsidR="000C6C71">
        <w:t xml:space="preserve"> </w:t>
      </w:r>
    </w:p>
    <w:p w14:paraId="34B00E48" w14:textId="7CCC40C3" w:rsidR="00106741" w:rsidRDefault="00E11768" w:rsidP="008E3CEA">
      <w:pPr>
        <w:spacing w:after="0" w:line="480" w:lineRule="auto"/>
      </w:pPr>
      <w:r w:rsidRPr="00E11768">
        <w:rPr>
          <w:noProof/>
        </w:rPr>
        <w:drawing>
          <wp:inline distT="0" distB="0" distL="0" distR="0" wp14:anchorId="42DD7C57" wp14:editId="6B6B1F49">
            <wp:extent cx="5878868" cy="31718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0509" cy="3183501"/>
                    </a:xfrm>
                    <a:prstGeom prst="rect">
                      <a:avLst/>
                    </a:prstGeom>
                  </pic:spPr>
                </pic:pic>
              </a:graphicData>
            </a:graphic>
          </wp:inline>
        </w:drawing>
      </w:r>
    </w:p>
    <w:p w14:paraId="297DCE3E" w14:textId="7E3B5933" w:rsidR="00E1413D" w:rsidRDefault="008E3CEA" w:rsidP="00E1413D">
      <w:pPr>
        <w:spacing w:line="480" w:lineRule="auto"/>
        <w:rPr>
          <w:sz w:val="20"/>
          <w:szCs w:val="20"/>
        </w:rPr>
      </w:pPr>
      <w:r>
        <w:rPr>
          <w:b/>
          <w:bCs/>
          <w:sz w:val="20"/>
          <w:szCs w:val="20"/>
        </w:rPr>
        <w:t>Figure 2.3</w:t>
      </w:r>
      <w:r>
        <w:rPr>
          <w:sz w:val="20"/>
          <w:szCs w:val="20"/>
        </w:rPr>
        <w:t xml:space="preserve">:Bar chart displaying net margin for </w:t>
      </w:r>
      <w:r w:rsidR="008A4E05">
        <w:rPr>
          <w:sz w:val="20"/>
          <w:szCs w:val="20"/>
        </w:rPr>
        <w:t xml:space="preserve">Eastern </w:t>
      </w:r>
      <w:r>
        <w:rPr>
          <w:sz w:val="20"/>
          <w:szCs w:val="20"/>
        </w:rPr>
        <w:t xml:space="preserve">states with sales </w:t>
      </w:r>
      <w:r w:rsidR="00C6568B">
        <w:rPr>
          <w:sz w:val="20"/>
          <w:szCs w:val="20"/>
        </w:rPr>
        <w:t>in January 2018</w:t>
      </w:r>
      <w:r w:rsidR="008A4E05">
        <w:rPr>
          <w:sz w:val="20"/>
          <w:szCs w:val="20"/>
        </w:rPr>
        <w:t>.</w:t>
      </w:r>
    </w:p>
    <w:p w14:paraId="0921BBFE" w14:textId="77777777" w:rsidR="00601971" w:rsidRDefault="00601971" w:rsidP="00E1413D">
      <w:pPr>
        <w:spacing w:after="0" w:line="480" w:lineRule="auto"/>
      </w:pPr>
    </w:p>
    <w:p w14:paraId="0DF1A5CF" w14:textId="7DAA4B90" w:rsidR="00C6568B" w:rsidRPr="00E1413D" w:rsidRDefault="00C6568B" w:rsidP="00E1413D">
      <w:pPr>
        <w:spacing w:after="0" w:line="480" w:lineRule="auto"/>
        <w:rPr>
          <w:sz w:val="20"/>
          <w:szCs w:val="20"/>
        </w:rPr>
      </w:pPr>
      <w:r>
        <w:lastRenderedPageBreak/>
        <w:t>2.4 South</w:t>
      </w:r>
    </w:p>
    <w:p w14:paraId="0B08BAFE" w14:textId="6D7EE532" w:rsidR="004411F6" w:rsidRDefault="00C6568B" w:rsidP="00E1413D">
      <w:pPr>
        <w:spacing w:after="0" w:line="480" w:lineRule="auto"/>
      </w:pPr>
      <w:r>
        <w:tab/>
      </w:r>
      <w:r w:rsidR="0009568B">
        <w:t xml:space="preserve">The Southern region accounted for the largest loss in January 2018 and </w:t>
      </w:r>
      <w:r w:rsidR="005B5295">
        <w:t>Figure 2.4</w:t>
      </w:r>
      <w:r w:rsidR="00E060F9">
        <w:t xml:space="preserve"> makes it clear that North Carolina </w:t>
      </w:r>
      <w:r w:rsidR="0009568B">
        <w:t>was</w:t>
      </w:r>
      <w:r w:rsidR="00E060F9">
        <w:t xml:space="preserve"> a major factor in the poor performance</w:t>
      </w:r>
      <w:r w:rsidR="0009568B">
        <w:t xml:space="preserve">. All losses for the region came from one sale in North Carolina in which thirteen conference tables were sold at a 40% discount resulting in $1,862.31 of loss. </w:t>
      </w:r>
      <w:r w:rsidR="005E7B46">
        <w:t>Without this sale net margin in the Southern region would have been 32.51%. This single transaction</w:t>
      </w:r>
      <w:r w:rsidR="00310BAA">
        <w:t xml:space="preserve"> in North Carolina</w:t>
      </w:r>
      <w:r w:rsidR="005E7B46">
        <w:t xml:space="preserve"> was the only loss generator in the region, but </w:t>
      </w:r>
      <w:r w:rsidR="0032571D">
        <w:t xml:space="preserve">drastically reduced sales </w:t>
      </w:r>
      <w:r w:rsidR="000D0584">
        <w:t>in the</w:t>
      </w:r>
      <w:r w:rsidR="0032571D">
        <w:t xml:space="preserve"> other </w:t>
      </w:r>
      <w:r w:rsidR="000D0584">
        <w:t>Southern states</w:t>
      </w:r>
      <w:r w:rsidR="0032571D">
        <w:t xml:space="preserve"> (FL -99%, GA -99%, KY -52%, TN -</w:t>
      </w:r>
      <w:r w:rsidR="001234E5">
        <w:t>86%</w:t>
      </w:r>
      <w:r w:rsidR="0032571D">
        <w:t>, VA -</w:t>
      </w:r>
      <w:r w:rsidR="001234E5">
        <w:t xml:space="preserve">87%) </w:t>
      </w:r>
      <w:r w:rsidR="00E1413D">
        <w:t>also</w:t>
      </w:r>
      <w:r w:rsidR="004411F6">
        <w:t xml:space="preserve"> contribute</w:t>
      </w:r>
      <w:r w:rsidR="00E1413D">
        <w:t>d</w:t>
      </w:r>
      <w:r w:rsidR="004411F6">
        <w:t xml:space="preserve"> to the overall poor performance of the region in January 2018. </w:t>
      </w:r>
    </w:p>
    <w:p w14:paraId="33F8ED55" w14:textId="501E248B" w:rsidR="004411F6" w:rsidRDefault="00E11768" w:rsidP="002D7366">
      <w:pPr>
        <w:spacing w:after="0" w:line="480" w:lineRule="auto"/>
      </w:pPr>
      <w:r w:rsidRPr="00E11768">
        <w:rPr>
          <w:noProof/>
        </w:rPr>
        <w:drawing>
          <wp:inline distT="0" distB="0" distL="0" distR="0" wp14:anchorId="2F6CD691" wp14:editId="1E9FBE7F">
            <wp:extent cx="5819775" cy="2664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1271" cy="2670174"/>
                    </a:xfrm>
                    <a:prstGeom prst="rect">
                      <a:avLst/>
                    </a:prstGeom>
                  </pic:spPr>
                </pic:pic>
              </a:graphicData>
            </a:graphic>
          </wp:inline>
        </w:drawing>
      </w:r>
    </w:p>
    <w:p w14:paraId="38000743" w14:textId="73DA6963" w:rsidR="002D7366" w:rsidRPr="00721FBB" w:rsidRDefault="002D7366" w:rsidP="00721FBB">
      <w:pPr>
        <w:spacing w:line="480" w:lineRule="auto"/>
        <w:rPr>
          <w:sz w:val="20"/>
          <w:szCs w:val="20"/>
        </w:rPr>
      </w:pPr>
      <w:r>
        <w:rPr>
          <w:b/>
          <w:bCs/>
          <w:sz w:val="20"/>
          <w:szCs w:val="20"/>
        </w:rPr>
        <w:t>Figure 2.4</w:t>
      </w:r>
      <w:r>
        <w:rPr>
          <w:sz w:val="20"/>
          <w:szCs w:val="20"/>
        </w:rPr>
        <w:t>:Bar chart displaying net margin for</w:t>
      </w:r>
      <w:r w:rsidR="008A4E05">
        <w:rPr>
          <w:sz w:val="20"/>
          <w:szCs w:val="20"/>
        </w:rPr>
        <w:t xml:space="preserve"> Southern</w:t>
      </w:r>
      <w:r>
        <w:rPr>
          <w:sz w:val="20"/>
          <w:szCs w:val="20"/>
        </w:rPr>
        <w:t xml:space="preserve"> states with sales in January 2018</w:t>
      </w:r>
      <w:r w:rsidR="008A4E05">
        <w:rPr>
          <w:sz w:val="20"/>
          <w:szCs w:val="20"/>
        </w:rPr>
        <w:t>.</w:t>
      </w:r>
    </w:p>
    <w:p w14:paraId="20F389B7" w14:textId="0223F1CD" w:rsidR="004411F6" w:rsidRDefault="004411F6" w:rsidP="00721FBB">
      <w:pPr>
        <w:spacing w:after="0" w:line="480" w:lineRule="auto"/>
      </w:pPr>
      <w:r>
        <w:t>2.5 West</w:t>
      </w:r>
    </w:p>
    <w:p w14:paraId="16B76FA1" w14:textId="22BDCA3D" w:rsidR="00C6568B" w:rsidRDefault="004411F6" w:rsidP="00721FBB">
      <w:pPr>
        <w:spacing w:after="0" w:line="480" w:lineRule="auto"/>
      </w:pPr>
      <w:r>
        <w:tab/>
      </w:r>
      <w:r w:rsidR="00C77E72">
        <w:t xml:space="preserve">The Western region was the only profitable region during January 2018 and came in just below the 10% benchmark. In Figure 2.5 we see that Washington was the only state in the region </w:t>
      </w:r>
      <w:r w:rsidR="00E1413D">
        <w:t>to produce a loss,</w:t>
      </w:r>
      <w:r w:rsidR="002D7366">
        <w:t xml:space="preserve"> the loss was less than $7</w:t>
      </w:r>
      <w:r w:rsidR="00C77E72">
        <w:t xml:space="preserve">. California came in just below the 10% threshold due </w:t>
      </w:r>
      <w:r w:rsidR="00C77E72">
        <w:lastRenderedPageBreak/>
        <w:t xml:space="preserve">to </w:t>
      </w:r>
      <w:r w:rsidR="00201A8A">
        <w:t xml:space="preserve">the sale of 5 chairs </w:t>
      </w:r>
      <w:r w:rsidR="00E1413D">
        <w:t>at</w:t>
      </w:r>
      <w:r w:rsidR="00201A8A">
        <w:t xml:space="preserve"> a 20% discount that generated no profit. </w:t>
      </w:r>
      <w:r w:rsidR="002D7366">
        <w:t>Overall,</w:t>
      </w:r>
      <w:r w:rsidR="00201A8A">
        <w:t xml:space="preserve"> the region suffered</w:t>
      </w:r>
      <w:r w:rsidR="00E1413D">
        <w:t xml:space="preserve"> mostly</w:t>
      </w:r>
      <w:r w:rsidR="00201A8A">
        <w:t xml:space="preserve"> due to below average sales (CA -38%, CO -95%, MT -63%, WA -98%).</w:t>
      </w:r>
    </w:p>
    <w:p w14:paraId="07B518A7" w14:textId="2C5680AB" w:rsidR="00721FBB" w:rsidRDefault="004964CA" w:rsidP="00C87A0F">
      <w:pPr>
        <w:spacing w:line="480" w:lineRule="auto"/>
        <w:rPr>
          <w:sz w:val="20"/>
          <w:szCs w:val="20"/>
        </w:rPr>
      </w:pPr>
      <w:r w:rsidRPr="004964CA">
        <w:rPr>
          <w:b/>
          <w:bCs/>
          <w:noProof/>
          <w:sz w:val="20"/>
          <w:szCs w:val="20"/>
        </w:rPr>
        <w:drawing>
          <wp:inline distT="0" distB="0" distL="0" distR="0" wp14:anchorId="66618698" wp14:editId="105BE633">
            <wp:extent cx="5810250" cy="214408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4712" cy="2149419"/>
                    </a:xfrm>
                    <a:prstGeom prst="rect">
                      <a:avLst/>
                    </a:prstGeom>
                  </pic:spPr>
                </pic:pic>
              </a:graphicData>
            </a:graphic>
          </wp:inline>
        </w:drawing>
      </w:r>
      <w:r w:rsidR="00721FBB" w:rsidRPr="00721FBB">
        <w:rPr>
          <w:b/>
          <w:bCs/>
          <w:sz w:val="20"/>
          <w:szCs w:val="20"/>
        </w:rPr>
        <w:t xml:space="preserve"> </w:t>
      </w:r>
      <w:r w:rsidR="00721FBB">
        <w:rPr>
          <w:b/>
          <w:bCs/>
          <w:sz w:val="20"/>
          <w:szCs w:val="20"/>
        </w:rPr>
        <w:t>Figure 2.5</w:t>
      </w:r>
      <w:r w:rsidR="00721FBB">
        <w:rPr>
          <w:sz w:val="20"/>
          <w:szCs w:val="20"/>
        </w:rPr>
        <w:t>:Bar chart displaying net margin for</w:t>
      </w:r>
      <w:r>
        <w:rPr>
          <w:sz w:val="20"/>
          <w:szCs w:val="20"/>
        </w:rPr>
        <w:t xml:space="preserve"> Western</w:t>
      </w:r>
      <w:r w:rsidR="00721FBB">
        <w:rPr>
          <w:sz w:val="20"/>
          <w:szCs w:val="20"/>
        </w:rPr>
        <w:t xml:space="preserve"> states with sales in January 2018</w:t>
      </w:r>
      <w:r>
        <w:rPr>
          <w:sz w:val="20"/>
          <w:szCs w:val="20"/>
        </w:rPr>
        <w:t>.</w:t>
      </w:r>
    </w:p>
    <w:p w14:paraId="16DFA994" w14:textId="4DD5FAEE" w:rsidR="009F2D23" w:rsidRDefault="00C87A0F" w:rsidP="00C87A0F">
      <w:pPr>
        <w:spacing w:after="0" w:line="480" w:lineRule="auto"/>
        <w:rPr>
          <w:b/>
          <w:bCs/>
        </w:rPr>
      </w:pPr>
      <w:r>
        <w:rPr>
          <w:b/>
          <w:bCs/>
        </w:rPr>
        <w:t>3. Conclusion</w:t>
      </w:r>
    </w:p>
    <w:p w14:paraId="250859D3" w14:textId="5D9F9950" w:rsidR="00C87A0F" w:rsidRDefault="00C87A0F" w:rsidP="00721FBB">
      <w:pPr>
        <w:spacing w:line="480" w:lineRule="auto"/>
      </w:pPr>
      <w:r>
        <w:tab/>
        <w:t xml:space="preserve">The </w:t>
      </w:r>
      <w:r w:rsidR="008877BE">
        <w:t>poor performance</w:t>
      </w:r>
      <w:r>
        <w:t xml:space="preserve"> in January 2018 </w:t>
      </w:r>
      <w:r w:rsidR="008E2CDD">
        <w:t xml:space="preserve">had two main </w:t>
      </w:r>
      <w:r w:rsidR="00C635EB">
        <w:t>culprits</w:t>
      </w:r>
      <w:r w:rsidR="008E2CDD">
        <w:t xml:space="preserve">. </w:t>
      </w:r>
      <w:r w:rsidR="008E2CDD" w:rsidRPr="008E2CDD">
        <w:t xml:space="preserve">With percent of average revenue for each region being Central 24%, East 33%, South 61%, and West 40% it is obvious that lack of sales </w:t>
      </w:r>
      <w:r w:rsidR="008E2CDD">
        <w:t xml:space="preserve">was one of the </w:t>
      </w:r>
      <w:r w:rsidR="00C635EB">
        <w:t>issues</w:t>
      </w:r>
      <w:r w:rsidR="008E2CDD" w:rsidRPr="008E2CDD">
        <w:t>.</w:t>
      </w:r>
      <w:r w:rsidR="008E2CDD">
        <w:t xml:space="preserve"> T</w:t>
      </w:r>
      <w:r w:rsidR="008877BE">
        <w:t xml:space="preserve">he second </w:t>
      </w:r>
      <w:r w:rsidR="00F3452B">
        <w:t xml:space="preserve">and more troublesome </w:t>
      </w:r>
      <w:r w:rsidR="008E2CDD">
        <w:t>cause was</w:t>
      </w:r>
      <w:r w:rsidR="008877BE">
        <w:t xml:space="preserve"> large losses as a consequence of </w:t>
      </w:r>
      <w:r w:rsidR="0082545E">
        <w:t>deep discounts. Due to the lack of data surrounding costs it can</w:t>
      </w:r>
      <w:r w:rsidR="00C635EB">
        <w:t>’</w:t>
      </w:r>
      <w:r w:rsidR="0082545E">
        <w:t>t be determined how much of an impact they had on profit.</w:t>
      </w:r>
      <w:r w:rsidR="00873A64">
        <w:t xml:space="preserve"> Inventory data could have also been useful as it could have provided </w:t>
      </w:r>
      <w:r w:rsidR="00F3452B">
        <w:t>information</w:t>
      </w:r>
      <w:r w:rsidR="00873A64">
        <w:t xml:space="preserve"> </w:t>
      </w:r>
      <w:r w:rsidR="00F3452B">
        <w:t>about the</w:t>
      </w:r>
      <w:r w:rsidR="00873A64">
        <w:t xml:space="preserve"> </w:t>
      </w:r>
      <w:r w:rsidR="00C635EB">
        <w:t xml:space="preserve">origin of the </w:t>
      </w:r>
      <w:r w:rsidR="00873A64">
        <w:t>discounts</w:t>
      </w:r>
      <w:r w:rsidR="00F3452B">
        <w:t xml:space="preserve"> </w:t>
      </w:r>
      <w:r w:rsidR="00873A64">
        <w:t>as well as potential cost reduction strategie</w:t>
      </w:r>
      <w:r w:rsidR="008E2CDD">
        <w:t>s</w:t>
      </w:r>
      <w:r w:rsidR="00873A64">
        <w:t xml:space="preserve">. Although this is just one month, it provides </w:t>
      </w:r>
      <w:r w:rsidR="00F3452B">
        <w:t xml:space="preserve">insight into the potential ramifications of unchecked discounts. </w:t>
      </w:r>
    </w:p>
    <w:p w14:paraId="7BBE6E66" w14:textId="096881C3" w:rsidR="00F3452B" w:rsidRDefault="00F3452B" w:rsidP="00A82EDD">
      <w:pPr>
        <w:spacing w:after="0" w:line="480" w:lineRule="auto"/>
      </w:pPr>
      <w:r>
        <w:t>3.1 Recommendations</w:t>
      </w:r>
    </w:p>
    <w:p w14:paraId="0946C0C7" w14:textId="2652B9A0" w:rsidR="00A01CBA" w:rsidRDefault="00A82EDD" w:rsidP="00A82EDD">
      <w:pPr>
        <w:spacing w:after="0" w:line="480" w:lineRule="auto"/>
      </w:pPr>
      <w:r>
        <w:tab/>
      </w:r>
      <w:r w:rsidR="00A01CBA">
        <w:t>Implementation of the following recommendations is the best course of action to diminish the probability of having another month like January 2018. They also allow deeper analysis in the future and the potential to develop best practices to ensure the companies continued success.</w:t>
      </w:r>
    </w:p>
    <w:p w14:paraId="7E4BBFFB" w14:textId="4E8258A5" w:rsidR="00F3452B" w:rsidRDefault="008E2CDD" w:rsidP="00F3452B">
      <w:pPr>
        <w:pStyle w:val="ListParagraph"/>
        <w:numPr>
          <w:ilvl w:val="0"/>
          <w:numId w:val="2"/>
        </w:numPr>
        <w:spacing w:line="480" w:lineRule="auto"/>
      </w:pPr>
      <w:r>
        <w:lastRenderedPageBreak/>
        <w:t>Discount Tracking</w:t>
      </w:r>
    </w:p>
    <w:p w14:paraId="545F430A" w14:textId="2C6350CF" w:rsidR="00F3452B" w:rsidRDefault="0042400E" w:rsidP="00F3452B">
      <w:pPr>
        <w:pStyle w:val="ListParagraph"/>
        <w:spacing w:line="480" w:lineRule="auto"/>
      </w:pPr>
      <w:r>
        <w:t xml:space="preserve">All major losses incurred in January 2018 were the result of deep discounts. With no real way to discern why these discounts were provided it can’t be determined what, if any, benefit these provide to the company. </w:t>
      </w:r>
      <w:r w:rsidR="00F3452B">
        <w:t xml:space="preserve">Tracking discounts would prove highly beneficial when reviewing and analyzing previous months. </w:t>
      </w:r>
      <w:r>
        <w:t>It would</w:t>
      </w:r>
      <w:r w:rsidR="00F3452B">
        <w:t xml:space="preserve"> provide knowledge about the nature of discounts</w:t>
      </w:r>
      <w:r>
        <w:t>, allowing for better analysis of the transaction,</w:t>
      </w:r>
      <w:r w:rsidR="00F3452B">
        <w:t xml:space="preserve"> </w:t>
      </w:r>
      <w:r>
        <w:t>and</w:t>
      </w:r>
      <w:r w:rsidR="00F3452B">
        <w:t xml:space="preserve"> would allow</w:t>
      </w:r>
      <w:r>
        <w:t xml:space="preserve"> </w:t>
      </w:r>
      <w:r w:rsidR="00F3452B">
        <w:t xml:space="preserve">the advantages and disadvantages </w:t>
      </w:r>
      <w:r w:rsidR="009236C3">
        <w:t>of discounts to be assessed</w:t>
      </w:r>
      <w:r w:rsidR="00F3452B">
        <w:t>.</w:t>
      </w:r>
    </w:p>
    <w:p w14:paraId="01462D33" w14:textId="6C368F44" w:rsidR="00F3452B" w:rsidRDefault="00A01CBA" w:rsidP="00F3452B">
      <w:pPr>
        <w:pStyle w:val="ListParagraph"/>
        <w:numPr>
          <w:ilvl w:val="0"/>
          <w:numId w:val="2"/>
        </w:numPr>
        <w:spacing w:line="480" w:lineRule="auto"/>
      </w:pPr>
      <w:r>
        <w:t>Discount Analysis</w:t>
      </w:r>
    </w:p>
    <w:p w14:paraId="64F7B017" w14:textId="5E3963C5" w:rsidR="0042400E" w:rsidRDefault="0042400E">
      <w:pPr>
        <w:pStyle w:val="ListParagraph"/>
        <w:spacing w:line="480" w:lineRule="auto"/>
      </w:pPr>
      <w:r>
        <w:t>Based on current data</w:t>
      </w:r>
      <w:r w:rsidR="00C635EB">
        <w:t>,</w:t>
      </w:r>
      <w:r>
        <w:t xml:space="preserve"> discounts greater than 20% should only be given in extreme circumstances. In the four years analyzed only thirty-two </w:t>
      </w:r>
      <w:r w:rsidR="001243D7">
        <w:t>products sold</w:t>
      </w:r>
      <w:r>
        <w:t xml:space="preserve"> with a discount larger than 20% were profitable, yet </w:t>
      </w:r>
      <w:r w:rsidR="00B472D7">
        <w:t>they ma</w:t>
      </w:r>
      <w:r w:rsidR="00004695">
        <w:t>de</w:t>
      </w:r>
      <w:r w:rsidR="00B472D7">
        <w:t xml:space="preserve"> up almost 14% of</w:t>
      </w:r>
      <w:r w:rsidR="001243D7">
        <w:t xml:space="preserve"> </w:t>
      </w:r>
      <w:r w:rsidR="00C635EB">
        <w:t>items sold</w:t>
      </w:r>
      <w:r w:rsidR="00B472D7">
        <w:t>.</w:t>
      </w:r>
      <w:r w:rsidR="001243D7">
        <w:t xml:space="preserve"> Less than 19% of transactions </w:t>
      </w:r>
      <w:r w:rsidR="00330B37">
        <w:t>with</w:t>
      </w:r>
      <w:r w:rsidR="001243D7">
        <w:t xml:space="preserve"> an average discount above 20% were profitable</w:t>
      </w:r>
      <w:r w:rsidR="00004695">
        <w:t xml:space="preserve">. On the other </w:t>
      </w:r>
      <w:r w:rsidR="008E2CDD">
        <w:t>hand,</w:t>
      </w:r>
      <w:r w:rsidR="00004695">
        <w:t xml:space="preserve"> over 94% of transactions with a</w:t>
      </w:r>
      <w:r w:rsidR="00111C1B">
        <w:t>n average</w:t>
      </w:r>
      <w:r w:rsidR="00004695">
        <w:t xml:space="preserve"> discount of 20% or less were profitable.</w:t>
      </w:r>
      <w:r w:rsidR="001243D7">
        <w:t xml:space="preserve"> </w:t>
      </w:r>
      <w:r w:rsidR="00A01CBA">
        <w:t xml:space="preserve">A further analysis of discounts is recommended in order to determine the effect they have on sales as well as the optimal discount range. </w:t>
      </w:r>
    </w:p>
    <w:p w14:paraId="6DEA9F1F" w14:textId="798F9DDF" w:rsidR="008E2CDD" w:rsidRDefault="008E2CDD" w:rsidP="008E2CDD">
      <w:pPr>
        <w:pStyle w:val="ListParagraph"/>
        <w:numPr>
          <w:ilvl w:val="0"/>
          <w:numId w:val="2"/>
        </w:numPr>
        <w:spacing w:line="480" w:lineRule="auto"/>
      </w:pPr>
      <w:r>
        <w:t>Cost Tracking</w:t>
      </w:r>
    </w:p>
    <w:p w14:paraId="7F00226A" w14:textId="7CC5E2A9" w:rsidR="00233D01" w:rsidRDefault="008E2CDD" w:rsidP="000D0584">
      <w:pPr>
        <w:pStyle w:val="ListParagraph"/>
        <w:spacing w:line="480" w:lineRule="auto"/>
      </w:pPr>
      <w:r>
        <w:t xml:space="preserve">With the only access to cost data being through profit and sales it is impossible to make any recommendations on cost saving opportunities. Many of the losses incurred could have likely been diminished or eliminated </w:t>
      </w:r>
      <w:r w:rsidR="00D54E0B">
        <w:t>through cost reductions in the supply chain.</w:t>
      </w:r>
      <w:r w:rsidR="00A01CBA">
        <w:t xml:space="preserve"> </w:t>
      </w:r>
      <w:r w:rsidR="009236C3">
        <w:t>Tracking costs</w:t>
      </w:r>
      <w:r w:rsidR="00A01CBA">
        <w:t xml:space="preserve">, specifically by the type of cost, is recommended </w:t>
      </w:r>
      <w:r w:rsidR="009236C3">
        <w:t xml:space="preserve">to further enhance the </w:t>
      </w:r>
      <w:r w:rsidR="00330B37">
        <w:t>company’s</w:t>
      </w:r>
      <w:r w:rsidR="00A82EDD">
        <w:t xml:space="preserve"> progress and development of top-tier cost management strategies.</w:t>
      </w:r>
      <w:r w:rsidR="00D54E0B">
        <w:t xml:space="preserve"> </w:t>
      </w:r>
    </w:p>
    <w:p w14:paraId="65D34A58" w14:textId="77777777" w:rsidR="00E11768" w:rsidRDefault="00E11768">
      <w:pPr>
        <w:rPr>
          <w:b/>
          <w:bCs/>
        </w:rPr>
      </w:pPr>
      <w:r>
        <w:rPr>
          <w:b/>
          <w:bCs/>
        </w:rPr>
        <w:br w:type="page"/>
      </w:r>
    </w:p>
    <w:p w14:paraId="6226E9AB" w14:textId="1734F623" w:rsidR="006D1EB2" w:rsidRDefault="00233D01" w:rsidP="006D1EB2">
      <w:pPr>
        <w:pStyle w:val="ListParagraph"/>
        <w:spacing w:line="240" w:lineRule="auto"/>
        <w:jc w:val="center"/>
        <w:rPr>
          <w:b/>
          <w:bCs/>
        </w:rPr>
      </w:pPr>
      <w:r>
        <w:rPr>
          <w:b/>
          <w:bCs/>
        </w:rPr>
        <w:lastRenderedPageBreak/>
        <w:t>Appendix</w:t>
      </w:r>
      <w:r w:rsidR="006D1EB2">
        <w:rPr>
          <w:b/>
          <w:bCs/>
        </w:rPr>
        <w:t xml:space="preserve"> </w:t>
      </w:r>
    </w:p>
    <w:p w14:paraId="3104ED00" w14:textId="1D7C97CD" w:rsidR="00A01CBA" w:rsidRDefault="006D1EB2" w:rsidP="006D1EB2">
      <w:pPr>
        <w:pStyle w:val="ListParagraph"/>
        <w:spacing w:line="240" w:lineRule="auto"/>
        <w:jc w:val="center"/>
        <w:rPr>
          <w:b/>
          <w:bCs/>
        </w:rPr>
      </w:pPr>
      <w:r>
        <w:rPr>
          <w:b/>
          <w:bCs/>
        </w:rPr>
        <w:t>Supplemental</w:t>
      </w:r>
      <w:r w:rsidR="00233D01">
        <w:rPr>
          <w:b/>
          <w:bCs/>
        </w:rPr>
        <w:t xml:space="preserve"> </w:t>
      </w:r>
      <w:r w:rsidR="000D0584">
        <w:rPr>
          <w:b/>
          <w:bCs/>
        </w:rPr>
        <w:t>Figures</w:t>
      </w:r>
    </w:p>
    <w:p w14:paraId="4FD85196" w14:textId="77777777" w:rsidR="006D1EB2" w:rsidRDefault="006D1EB2" w:rsidP="006D1EB2">
      <w:pPr>
        <w:pStyle w:val="ListParagraph"/>
        <w:spacing w:line="240" w:lineRule="auto"/>
        <w:jc w:val="center"/>
        <w:rPr>
          <w:b/>
          <w:bCs/>
        </w:rPr>
      </w:pPr>
    </w:p>
    <w:p w14:paraId="26CBBAAB" w14:textId="4052A1F6" w:rsidR="002B1D37" w:rsidRDefault="002B1D37" w:rsidP="008C0EF1">
      <w:pPr>
        <w:pStyle w:val="ListParagraph"/>
        <w:spacing w:after="0" w:line="240" w:lineRule="auto"/>
        <w:ind w:left="0"/>
        <w:jc w:val="center"/>
      </w:pPr>
      <w:r>
        <w:t>Appendix Figure 1</w:t>
      </w:r>
      <w:r w:rsidR="00521D51">
        <w:t>A</w:t>
      </w:r>
      <w:r>
        <w:t>: Average Net Margin by Month</w:t>
      </w:r>
    </w:p>
    <w:p w14:paraId="3D1C3C99" w14:textId="77777777" w:rsidR="00751C41" w:rsidRPr="002B1D37" w:rsidRDefault="00751C41" w:rsidP="008C0EF1">
      <w:pPr>
        <w:pStyle w:val="ListParagraph"/>
        <w:spacing w:after="0" w:line="240" w:lineRule="auto"/>
        <w:ind w:left="0"/>
        <w:jc w:val="center"/>
      </w:pPr>
    </w:p>
    <w:p w14:paraId="3A67F7E1" w14:textId="04B335FB" w:rsidR="00751C41" w:rsidRDefault="00751C41" w:rsidP="003232F4">
      <w:pPr>
        <w:pStyle w:val="ListParagraph"/>
        <w:spacing w:after="0" w:line="240" w:lineRule="auto"/>
        <w:ind w:left="0"/>
      </w:pPr>
      <w:r w:rsidRPr="00751C41">
        <w:rPr>
          <w:noProof/>
        </w:rPr>
        <w:drawing>
          <wp:inline distT="0" distB="0" distL="0" distR="0" wp14:anchorId="624E1936" wp14:editId="66788CDF">
            <wp:extent cx="5876925" cy="38149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1837" cy="3818166"/>
                    </a:xfrm>
                    <a:prstGeom prst="rect">
                      <a:avLst/>
                    </a:prstGeom>
                  </pic:spPr>
                </pic:pic>
              </a:graphicData>
            </a:graphic>
          </wp:inline>
        </w:drawing>
      </w:r>
    </w:p>
    <w:p w14:paraId="73096F5F" w14:textId="1D234F3E" w:rsidR="00521D51" w:rsidRPr="00751C41" w:rsidRDefault="002B1D37" w:rsidP="008C0EF1">
      <w:pPr>
        <w:pStyle w:val="ListParagraph"/>
        <w:spacing w:after="0" w:line="240" w:lineRule="auto"/>
        <w:ind w:left="0"/>
      </w:pPr>
      <w:r w:rsidRPr="00751C41">
        <w:t>This figure displays average net margin</w:t>
      </w:r>
      <w:r w:rsidR="00925485" w:rsidRPr="00751C41">
        <w:t xml:space="preserve"> (ordered highest to lowest)</w:t>
      </w:r>
      <w:r w:rsidRPr="00751C41">
        <w:t xml:space="preserve"> for each month</w:t>
      </w:r>
      <w:r w:rsidR="00793DC9" w:rsidRPr="00751C41">
        <w:t xml:space="preserve"> between 2017 and 2020</w:t>
      </w:r>
      <w:r w:rsidRPr="00751C41">
        <w:t xml:space="preserve">. The average was calculated using total profit over total </w:t>
      </w:r>
      <w:r w:rsidR="00521D51" w:rsidRPr="00751C41">
        <w:t>revenue</w:t>
      </w:r>
      <w:r w:rsidRPr="00751C41">
        <w:t xml:space="preserve">. January is highlighted for </w:t>
      </w:r>
      <w:r w:rsidR="00793DC9" w:rsidRPr="00751C41">
        <w:t>emphasis</w:t>
      </w:r>
      <w:r w:rsidR="00521D51" w:rsidRPr="00751C41">
        <w:t>.</w:t>
      </w:r>
    </w:p>
    <w:p w14:paraId="16A13010" w14:textId="571C92CA" w:rsidR="00521D51" w:rsidRDefault="00521D51" w:rsidP="00793DC9">
      <w:pPr>
        <w:pStyle w:val="ListParagraph"/>
        <w:spacing w:after="0" w:line="240" w:lineRule="auto"/>
      </w:pPr>
    </w:p>
    <w:p w14:paraId="362CFBF4" w14:textId="77777777" w:rsidR="00925485" w:rsidRDefault="00925485">
      <w:r>
        <w:br w:type="page"/>
      </w:r>
    </w:p>
    <w:p w14:paraId="7E38246C" w14:textId="0EEBF1A0" w:rsidR="00521D51" w:rsidRDefault="00521D51" w:rsidP="008C0EF1">
      <w:pPr>
        <w:spacing w:after="0"/>
        <w:jc w:val="center"/>
      </w:pPr>
      <w:r>
        <w:lastRenderedPageBreak/>
        <w:t>Appendix Figure 1B: Average Revenue by Month</w:t>
      </w:r>
    </w:p>
    <w:p w14:paraId="0CA1380E" w14:textId="77777777" w:rsidR="00751C41" w:rsidRDefault="00751C41" w:rsidP="008C0EF1">
      <w:pPr>
        <w:spacing w:after="0"/>
        <w:jc w:val="center"/>
      </w:pPr>
    </w:p>
    <w:p w14:paraId="7D6C81E0" w14:textId="6853CD8C" w:rsidR="00751C41" w:rsidRDefault="00156BED" w:rsidP="008C0EF1">
      <w:pPr>
        <w:pStyle w:val="ListParagraph"/>
        <w:spacing w:after="0" w:line="240" w:lineRule="auto"/>
        <w:ind w:left="0"/>
      </w:pPr>
      <w:r w:rsidRPr="00156BED">
        <w:drawing>
          <wp:inline distT="0" distB="0" distL="0" distR="0" wp14:anchorId="72015EB4" wp14:editId="11D39EFF">
            <wp:extent cx="5876925" cy="357324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1527" cy="3576044"/>
                    </a:xfrm>
                    <a:prstGeom prst="rect">
                      <a:avLst/>
                    </a:prstGeom>
                  </pic:spPr>
                </pic:pic>
              </a:graphicData>
            </a:graphic>
          </wp:inline>
        </w:drawing>
      </w:r>
    </w:p>
    <w:p w14:paraId="729D9949" w14:textId="7C85E84B" w:rsidR="00310BAA" w:rsidRPr="00751C41" w:rsidRDefault="00310BAA" w:rsidP="008C0EF1">
      <w:pPr>
        <w:pStyle w:val="ListParagraph"/>
        <w:spacing w:after="0" w:line="240" w:lineRule="auto"/>
        <w:ind w:left="0"/>
      </w:pPr>
      <w:r w:rsidRPr="00751C41">
        <w:t>This figure displays average revenue</w:t>
      </w:r>
      <w:r w:rsidR="00925485" w:rsidRPr="00751C41">
        <w:t xml:space="preserve"> (ordered highest to lowest)</w:t>
      </w:r>
      <w:r w:rsidRPr="00751C41">
        <w:t xml:space="preserve"> for each month between 2017 and 2020. The average was calculated using total revenue over total </w:t>
      </w:r>
      <w:r w:rsidR="00D8764F">
        <w:t>years</w:t>
      </w:r>
      <w:r w:rsidRPr="00751C41">
        <w:t xml:space="preserve"> (4) . January is highlighted for emphasis.</w:t>
      </w:r>
    </w:p>
    <w:p w14:paraId="79B3B72C" w14:textId="6F54979F" w:rsidR="00310BAA" w:rsidRDefault="00310BAA" w:rsidP="00793DC9">
      <w:pPr>
        <w:pStyle w:val="ListParagraph"/>
        <w:spacing w:after="0" w:line="240" w:lineRule="auto"/>
      </w:pPr>
    </w:p>
    <w:p w14:paraId="1B499E2F" w14:textId="72462872" w:rsidR="00310BAA" w:rsidRDefault="00310BAA" w:rsidP="00793DC9">
      <w:pPr>
        <w:pStyle w:val="ListParagraph"/>
        <w:spacing w:after="0" w:line="240" w:lineRule="auto"/>
      </w:pPr>
    </w:p>
    <w:p w14:paraId="593E91F3" w14:textId="77777777" w:rsidR="00925485" w:rsidRDefault="00925485">
      <w:r>
        <w:br w:type="page"/>
      </w:r>
    </w:p>
    <w:p w14:paraId="363565FA" w14:textId="22C8182B" w:rsidR="00AF5F8C" w:rsidRDefault="00161E33" w:rsidP="00F96D5E">
      <w:pPr>
        <w:pStyle w:val="ListParagraph"/>
        <w:spacing w:after="0" w:line="240" w:lineRule="auto"/>
        <w:ind w:left="0"/>
        <w:jc w:val="center"/>
      </w:pPr>
      <w:r>
        <w:lastRenderedPageBreak/>
        <w:t xml:space="preserve">Appendix Figure 2: </w:t>
      </w:r>
      <w:r w:rsidR="00925485">
        <w:t>Monthly Revenue by State</w:t>
      </w:r>
      <w:r w:rsidR="00334D98">
        <w:t>- January 2018 vs. Average</w:t>
      </w:r>
    </w:p>
    <w:p w14:paraId="6A499A8F" w14:textId="2AD63506" w:rsidR="00AF5F8C" w:rsidRDefault="00AF5F8C" w:rsidP="00AF5F8C">
      <w:pPr>
        <w:pStyle w:val="ListParagraph"/>
        <w:spacing w:after="0" w:line="240" w:lineRule="auto"/>
        <w:ind w:left="0"/>
      </w:pPr>
      <w:r>
        <w:tab/>
      </w:r>
      <w:r>
        <w:tab/>
      </w:r>
      <w:r>
        <w:tab/>
      </w:r>
      <w:r>
        <w:tab/>
      </w:r>
    </w:p>
    <w:p w14:paraId="76BCE0F2" w14:textId="79F3568D" w:rsidR="00AF5F8C" w:rsidRDefault="004F5553" w:rsidP="004F5553">
      <w:pPr>
        <w:pStyle w:val="ListParagraph"/>
        <w:spacing w:after="0" w:line="240" w:lineRule="auto"/>
        <w:ind w:left="0"/>
        <w:jc w:val="center"/>
      </w:pPr>
      <w:r>
        <w:tab/>
      </w:r>
      <w:r w:rsidR="00AF5F8C">
        <w:t>Central</w:t>
      </w:r>
    </w:p>
    <w:p w14:paraId="1B8E7348" w14:textId="0082D02C" w:rsidR="00925485" w:rsidRDefault="00AF5F8C" w:rsidP="00F96D5E">
      <w:pPr>
        <w:pStyle w:val="ListParagraph"/>
        <w:spacing w:after="0" w:line="240" w:lineRule="auto"/>
        <w:ind w:left="0"/>
      </w:pPr>
      <w:r w:rsidRPr="00AF5F8C">
        <w:rPr>
          <w:noProof/>
        </w:rPr>
        <w:drawing>
          <wp:inline distT="0" distB="0" distL="0" distR="0" wp14:anchorId="3CE15637" wp14:editId="629773BE">
            <wp:extent cx="5821591" cy="351472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4311" cy="3558629"/>
                    </a:xfrm>
                    <a:prstGeom prst="rect">
                      <a:avLst/>
                    </a:prstGeom>
                  </pic:spPr>
                </pic:pic>
              </a:graphicData>
            </a:graphic>
          </wp:inline>
        </w:drawing>
      </w:r>
      <w:r w:rsidRPr="00AF5F8C">
        <w:rPr>
          <w:noProof/>
        </w:rPr>
        <w:t xml:space="preserve"> </w:t>
      </w:r>
    </w:p>
    <w:p w14:paraId="2527175C" w14:textId="54D82202" w:rsidR="003232F4" w:rsidRDefault="003232F4" w:rsidP="00F96D5E">
      <w:pPr>
        <w:pStyle w:val="ListParagraph"/>
        <w:spacing w:after="0" w:line="240" w:lineRule="auto"/>
        <w:ind w:left="0"/>
      </w:pPr>
      <w:r>
        <w:tab/>
      </w:r>
      <w:r>
        <w:tab/>
      </w:r>
      <w:r w:rsidR="00AF5F8C">
        <w:tab/>
        <w:t xml:space="preserve">      </w:t>
      </w:r>
    </w:p>
    <w:p w14:paraId="10DFE561" w14:textId="3415AE0F" w:rsidR="00AF5F8C" w:rsidRDefault="004F5553" w:rsidP="004F5553">
      <w:pPr>
        <w:pStyle w:val="ListParagraph"/>
        <w:spacing w:after="0" w:line="240" w:lineRule="auto"/>
        <w:ind w:left="0"/>
        <w:jc w:val="center"/>
      </w:pPr>
      <w:r>
        <w:tab/>
      </w:r>
      <w:r>
        <w:tab/>
      </w:r>
      <w:r w:rsidR="00AF5F8C">
        <w:t>East</w:t>
      </w:r>
      <w:r>
        <w:tab/>
      </w:r>
    </w:p>
    <w:p w14:paraId="5CFFD693" w14:textId="1F56008D" w:rsidR="00AF5F8C" w:rsidRDefault="00AF5F8C" w:rsidP="00F96D5E">
      <w:pPr>
        <w:pStyle w:val="ListParagraph"/>
        <w:spacing w:after="0" w:line="240" w:lineRule="auto"/>
        <w:ind w:left="0"/>
      </w:pPr>
      <w:r w:rsidRPr="00AF5F8C">
        <w:rPr>
          <w:noProof/>
        </w:rPr>
        <w:drawing>
          <wp:inline distT="0" distB="0" distL="0" distR="0" wp14:anchorId="58F093D2" wp14:editId="27FC4664">
            <wp:extent cx="5821256" cy="2809875"/>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76094" cy="2836345"/>
                    </a:xfrm>
                    <a:prstGeom prst="rect">
                      <a:avLst/>
                    </a:prstGeom>
                  </pic:spPr>
                </pic:pic>
              </a:graphicData>
            </a:graphic>
          </wp:inline>
        </w:drawing>
      </w:r>
    </w:p>
    <w:p w14:paraId="5F10CE5A" w14:textId="11607E01" w:rsidR="00AF5F8C" w:rsidRDefault="00AF5F8C" w:rsidP="00F96D5E">
      <w:pPr>
        <w:pStyle w:val="ListParagraph"/>
        <w:spacing w:after="0" w:line="240" w:lineRule="auto"/>
        <w:ind w:left="0"/>
        <w:rPr>
          <w:sz w:val="18"/>
          <w:szCs w:val="18"/>
        </w:rPr>
      </w:pPr>
      <w:r w:rsidRPr="00604BBE">
        <w:rPr>
          <w:sz w:val="18"/>
          <w:szCs w:val="18"/>
        </w:rPr>
        <w:t xml:space="preserve">Note: </w:t>
      </w:r>
      <w:r w:rsidR="00647AC5">
        <w:rPr>
          <w:sz w:val="18"/>
          <w:szCs w:val="18"/>
        </w:rPr>
        <w:t xml:space="preserve">In January 2018 </w:t>
      </w:r>
      <w:r w:rsidR="00665944">
        <w:rPr>
          <w:sz w:val="18"/>
          <w:szCs w:val="18"/>
        </w:rPr>
        <w:t xml:space="preserve">revenue in Massachusetts was only $6.68, </w:t>
      </w:r>
      <w:r w:rsidR="00647AC5">
        <w:rPr>
          <w:sz w:val="18"/>
          <w:szCs w:val="18"/>
        </w:rPr>
        <w:t>r</w:t>
      </w:r>
      <w:r w:rsidRPr="00604BBE">
        <w:rPr>
          <w:sz w:val="18"/>
          <w:szCs w:val="18"/>
        </w:rPr>
        <w:t>evenue</w:t>
      </w:r>
      <w:r w:rsidR="00604BBE">
        <w:rPr>
          <w:sz w:val="18"/>
          <w:szCs w:val="18"/>
        </w:rPr>
        <w:t>s</w:t>
      </w:r>
      <w:r w:rsidRPr="00604BBE">
        <w:rPr>
          <w:sz w:val="18"/>
          <w:szCs w:val="18"/>
        </w:rPr>
        <w:t xml:space="preserve"> in Delaware and Ohio surpassed </w:t>
      </w:r>
      <w:r w:rsidR="00604BBE" w:rsidRPr="00604BBE">
        <w:rPr>
          <w:sz w:val="18"/>
          <w:szCs w:val="18"/>
        </w:rPr>
        <w:t>the</w:t>
      </w:r>
      <w:r w:rsidR="00665944">
        <w:rPr>
          <w:sz w:val="18"/>
          <w:szCs w:val="18"/>
        </w:rPr>
        <w:t>ir</w:t>
      </w:r>
      <w:r w:rsidR="00604BBE" w:rsidRPr="00604BBE">
        <w:rPr>
          <w:sz w:val="18"/>
          <w:szCs w:val="18"/>
        </w:rPr>
        <w:t xml:space="preserve"> monthly averag</w:t>
      </w:r>
      <w:r w:rsidR="00334D98">
        <w:rPr>
          <w:sz w:val="18"/>
          <w:szCs w:val="18"/>
        </w:rPr>
        <w:t>e</w:t>
      </w:r>
      <w:r w:rsidR="00665944">
        <w:rPr>
          <w:sz w:val="18"/>
          <w:szCs w:val="18"/>
        </w:rPr>
        <w:t>s</w:t>
      </w:r>
      <w:r w:rsidR="00604BBE" w:rsidRPr="00604BBE">
        <w:rPr>
          <w:sz w:val="18"/>
          <w:szCs w:val="18"/>
        </w:rPr>
        <w:t>.</w:t>
      </w:r>
    </w:p>
    <w:p w14:paraId="140F8C38" w14:textId="3382E97B" w:rsidR="00604BBE" w:rsidRDefault="00604BBE" w:rsidP="00F96D5E">
      <w:pPr>
        <w:pStyle w:val="ListParagraph"/>
        <w:spacing w:after="0" w:line="240" w:lineRule="auto"/>
        <w:ind w:left="0"/>
        <w:rPr>
          <w:sz w:val="18"/>
          <w:szCs w:val="18"/>
        </w:rPr>
      </w:pPr>
    </w:p>
    <w:p w14:paraId="4043E2CF" w14:textId="001601A5" w:rsidR="00604BBE" w:rsidRPr="00604BBE" w:rsidRDefault="00604BBE" w:rsidP="00F96D5E">
      <w:pPr>
        <w:pStyle w:val="ListParagraph"/>
        <w:spacing w:after="0" w:line="240" w:lineRule="auto"/>
        <w:ind w:left="0"/>
      </w:pPr>
      <w:r>
        <w:tab/>
      </w:r>
      <w:r>
        <w:tab/>
      </w:r>
      <w:r>
        <w:tab/>
      </w:r>
      <w:r>
        <w:tab/>
      </w:r>
      <w:r>
        <w:tab/>
      </w:r>
      <w:r>
        <w:tab/>
      </w:r>
      <w:r>
        <w:tab/>
      </w:r>
    </w:p>
    <w:p w14:paraId="1714E375" w14:textId="1766C650" w:rsidR="00604BBE" w:rsidRDefault="00604BBE" w:rsidP="00F96D5E">
      <w:pPr>
        <w:pStyle w:val="ListParagraph"/>
        <w:spacing w:after="0" w:line="240" w:lineRule="auto"/>
        <w:ind w:left="0"/>
        <w:rPr>
          <w:sz w:val="18"/>
          <w:szCs w:val="18"/>
        </w:rPr>
      </w:pPr>
    </w:p>
    <w:p w14:paraId="5CD2B77D" w14:textId="1AD61ABE" w:rsidR="00604BBE" w:rsidRDefault="00604BBE">
      <w:pPr>
        <w:rPr>
          <w:sz w:val="18"/>
          <w:szCs w:val="18"/>
        </w:rPr>
      </w:pPr>
      <w:r>
        <w:rPr>
          <w:sz w:val="18"/>
          <w:szCs w:val="18"/>
        </w:rPr>
        <w:br w:type="page"/>
      </w:r>
    </w:p>
    <w:p w14:paraId="22CCA6D1" w14:textId="61EBA7E9" w:rsidR="00604BBE" w:rsidRPr="00604BBE" w:rsidRDefault="004F5553" w:rsidP="004F5553">
      <w:pPr>
        <w:pStyle w:val="ListParagraph"/>
        <w:spacing w:after="0" w:line="240" w:lineRule="auto"/>
        <w:ind w:left="0"/>
        <w:jc w:val="center"/>
      </w:pPr>
      <w:r>
        <w:rPr>
          <w:sz w:val="18"/>
          <w:szCs w:val="18"/>
        </w:rPr>
        <w:lastRenderedPageBreak/>
        <w:tab/>
      </w:r>
      <w:r w:rsidR="00604BBE">
        <w:t>South</w:t>
      </w:r>
    </w:p>
    <w:p w14:paraId="2D2AD2B9" w14:textId="6D38AEC9" w:rsidR="00604BBE" w:rsidRDefault="00604BBE" w:rsidP="00F96D5E">
      <w:pPr>
        <w:pStyle w:val="ListParagraph"/>
        <w:spacing w:after="0" w:line="240" w:lineRule="auto"/>
        <w:ind w:left="0"/>
        <w:rPr>
          <w:sz w:val="18"/>
          <w:szCs w:val="18"/>
        </w:rPr>
      </w:pPr>
      <w:r w:rsidRPr="00604BBE">
        <w:rPr>
          <w:noProof/>
          <w:sz w:val="18"/>
          <w:szCs w:val="18"/>
        </w:rPr>
        <w:drawing>
          <wp:inline distT="0" distB="0" distL="0" distR="0" wp14:anchorId="05477158" wp14:editId="1909A02C">
            <wp:extent cx="5867400" cy="2471078"/>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4329" cy="2478208"/>
                    </a:xfrm>
                    <a:prstGeom prst="rect">
                      <a:avLst/>
                    </a:prstGeom>
                  </pic:spPr>
                </pic:pic>
              </a:graphicData>
            </a:graphic>
          </wp:inline>
        </w:drawing>
      </w:r>
    </w:p>
    <w:p w14:paraId="3296561F" w14:textId="6DA487FA" w:rsidR="00604BBE" w:rsidRDefault="00604BBE" w:rsidP="00F96D5E">
      <w:pPr>
        <w:pStyle w:val="ListParagraph"/>
        <w:spacing w:after="0" w:line="240" w:lineRule="auto"/>
        <w:ind w:left="0"/>
        <w:rPr>
          <w:sz w:val="18"/>
          <w:szCs w:val="18"/>
        </w:rPr>
      </w:pPr>
      <w:r>
        <w:rPr>
          <w:sz w:val="18"/>
          <w:szCs w:val="18"/>
        </w:rPr>
        <w:t xml:space="preserve">Note: In January 2018 </w:t>
      </w:r>
      <w:r w:rsidR="00665944">
        <w:rPr>
          <w:sz w:val="18"/>
          <w:szCs w:val="18"/>
        </w:rPr>
        <w:t>revenues in Florida and Georgia were $13.12 and $9.82 respectively. R</w:t>
      </w:r>
      <w:r>
        <w:rPr>
          <w:sz w:val="18"/>
          <w:szCs w:val="18"/>
        </w:rPr>
        <w:t>evenue in North Carolina surpassed the monthly average</w:t>
      </w:r>
      <w:r w:rsidR="00647AC5">
        <w:rPr>
          <w:sz w:val="18"/>
          <w:szCs w:val="18"/>
        </w:rPr>
        <w:t>.</w:t>
      </w:r>
    </w:p>
    <w:p w14:paraId="6B4E9B77" w14:textId="597708BA" w:rsidR="00604BBE" w:rsidRDefault="00604BBE" w:rsidP="00F96D5E">
      <w:pPr>
        <w:pStyle w:val="ListParagraph"/>
        <w:spacing w:after="0" w:line="240" w:lineRule="auto"/>
        <w:ind w:left="0"/>
        <w:rPr>
          <w:sz w:val="18"/>
          <w:szCs w:val="18"/>
        </w:rPr>
      </w:pPr>
    </w:p>
    <w:p w14:paraId="4696AB73" w14:textId="1D3C397D" w:rsidR="00647AC5" w:rsidRDefault="00647AC5" w:rsidP="00F96D5E">
      <w:pPr>
        <w:pStyle w:val="ListParagraph"/>
        <w:spacing w:after="0" w:line="240" w:lineRule="auto"/>
        <w:ind w:left="0"/>
        <w:rPr>
          <w:sz w:val="18"/>
          <w:szCs w:val="18"/>
        </w:rPr>
      </w:pPr>
    </w:p>
    <w:p w14:paraId="2A763AAA" w14:textId="0F6E408D" w:rsidR="00647AC5" w:rsidRPr="00647AC5" w:rsidRDefault="004F5553" w:rsidP="004F5553">
      <w:pPr>
        <w:pStyle w:val="ListParagraph"/>
        <w:spacing w:after="0" w:line="240" w:lineRule="auto"/>
        <w:ind w:left="0"/>
        <w:jc w:val="center"/>
      </w:pPr>
      <w:r>
        <w:rPr>
          <w:sz w:val="18"/>
          <w:szCs w:val="18"/>
        </w:rPr>
        <w:tab/>
      </w:r>
      <w:r w:rsidR="00647AC5">
        <w:t>West</w:t>
      </w:r>
    </w:p>
    <w:p w14:paraId="0E100FDF" w14:textId="5C017954" w:rsidR="00647AC5" w:rsidRDefault="00647AC5" w:rsidP="00F96D5E">
      <w:pPr>
        <w:pStyle w:val="ListParagraph"/>
        <w:spacing w:after="0" w:line="240" w:lineRule="auto"/>
        <w:ind w:left="0"/>
        <w:rPr>
          <w:sz w:val="18"/>
          <w:szCs w:val="18"/>
        </w:rPr>
      </w:pPr>
      <w:r w:rsidRPr="00647AC5">
        <w:rPr>
          <w:noProof/>
          <w:sz w:val="18"/>
          <w:szCs w:val="18"/>
        </w:rPr>
        <w:drawing>
          <wp:inline distT="0" distB="0" distL="0" distR="0" wp14:anchorId="1A963F86" wp14:editId="5AFF9AB7">
            <wp:extent cx="5943600" cy="340233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02330"/>
                    </a:xfrm>
                    <a:prstGeom prst="rect">
                      <a:avLst/>
                    </a:prstGeom>
                  </pic:spPr>
                </pic:pic>
              </a:graphicData>
            </a:graphic>
          </wp:inline>
        </w:drawing>
      </w:r>
    </w:p>
    <w:p w14:paraId="6FE902D4" w14:textId="6A2A9CAC" w:rsidR="00647AC5" w:rsidRDefault="00665944" w:rsidP="00F96D5E">
      <w:pPr>
        <w:pStyle w:val="ListParagraph"/>
        <w:spacing w:after="0" w:line="240" w:lineRule="auto"/>
        <w:ind w:left="0"/>
        <w:rPr>
          <w:sz w:val="18"/>
          <w:szCs w:val="18"/>
        </w:rPr>
      </w:pPr>
      <w:r>
        <w:rPr>
          <w:sz w:val="18"/>
          <w:szCs w:val="18"/>
        </w:rPr>
        <w:t>Note: In January 2018 revenues for Colorado, Montana, and Washington were $31.54, $43.66, and $61.58 respectively.</w:t>
      </w:r>
    </w:p>
    <w:p w14:paraId="7F3A7929" w14:textId="77777777" w:rsidR="00647AC5" w:rsidRPr="00604BBE" w:rsidRDefault="00647AC5" w:rsidP="00F96D5E">
      <w:pPr>
        <w:pStyle w:val="ListParagraph"/>
        <w:spacing w:after="0" w:line="240" w:lineRule="auto"/>
        <w:ind w:left="0"/>
        <w:rPr>
          <w:sz w:val="18"/>
          <w:szCs w:val="18"/>
        </w:rPr>
      </w:pPr>
    </w:p>
    <w:p w14:paraId="7B917A59" w14:textId="7F034463" w:rsidR="00F96D5E" w:rsidRDefault="00F96D5E" w:rsidP="00F96D5E">
      <w:pPr>
        <w:pStyle w:val="ListParagraph"/>
        <w:spacing w:after="0" w:line="240" w:lineRule="auto"/>
        <w:ind w:left="0"/>
      </w:pPr>
      <w:r>
        <w:t xml:space="preserve">This figure represents </w:t>
      </w:r>
      <w:r w:rsidR="00647AC5">
        <w:t xml:space="preserve">the comparison of each states revenues in January 2018 and their average </w:t>
      </w:r>
      <w:r w:rsidR="00D81017">
        <w:t xml:space="preserve">monthly </w:t>
      </w:r>
      <w:r w:rsidR="00647AC5">
        <w:t xml:space="preserve">revenue. </w:t>
      </w:r>
      <w:r>
        <w:t>The blue bars represent total revenue generated in January 2018 and the green lines represent average monthly revenue. Average monthly revenue was calculated as total revenue over total months (48)</w:t>
      </w:r>
      <w:r w:rsidR="0021340C">
        <w:t>.</w:t>
      </w:r>
    </w:p>
    <w:p w14:paraId="283FA472" w14:textId="07C01F2E" w:rsidR="004F5553" w:rsidRDefault="004F5553">
      <w:r>
        <w:br w:type="page"/>
      </w:r>
    </w:p>
    <w:p w14:paraId="7078CF0C" w14:textId="2AAB035F" w:rsidR="0021340C" w:rsidRDefault="004F5553" w:rsidP="004F5553">
      <w:pPr>
        <w:pStyle w:val="ListParagraph"/>
        <w:spacing w:after="0" w:line="240" w:lineRule="auto"/>
        <w:ind w:left="0"/>
        <w:jc w:val="center"/>
      </w:pPr>
      <w:r>
        <w:lastRenderedPageBreak/>
        <w:t xml:space="preserve">Appendix Figure 3: </w:t>
      </w:r>
      <w:r w:rsidR="00334D98">
        <w:t>Monthly Revenue by Region – January 2018 vs Average</w:t>
      </w:r>
    </w:p>
    <w:p w14:paraId="0D1B1722" w14:textId="77777777" w:rsidR="00334D98" w:rsidRDefault="00334D98" w:rsidP="004F5553">
      <w:pPr>
        <w:pStyle w:val="ListParagraph"/>
        <w:spacing w:after="0" w:line="240" w:lineRule="auto"/>
        <w:ind w:left="0"/>
        <w:jc w:val="center"/>
      </w:pPr>
    </w:p>
    <w:p w14:paraId="5EEC550C" w14:textId="7FC95F0D" w:rsidR="00D81017" w:rsidRDefault="00D81017" w:rsidP="00F96D5E">
      <w:pPr>
        <w:pStyle w:val="ListParagraph"/>
        <w:spacing w:after="0" w:line="240" w:lineRule="auto"/>
        <w:ind w:left="0"/>
      </w:pPr>
      <w:r>
        <w:rPr>
          <w:noProof/>
        </w:rPr>
        <mc:AlternateContent>
          <mc:Choice Requires="wpi">
            <w:drawing>
              <wp:anchor distT="0" distB="0" distL="114300" distR="114300" simplePos="0" relativeHeight="251660288" behindDoc="0" locked="0" layoutInCell="1" allowOverlap="1" wp14:anchorId="2876D884" wp14:editId="1FF50643">
                <wp:simplePos x="0" y="0"/>
                <wp:positionH relativeFrom="column">
                  <wp:posOffset>95332</wp:posOffset>
                </wp:positionH>
                <wp:positionV relativeFrom="paragraph">
                  <wp:posOffset>1072163</wp:posOffset>
                </wp:positionV>
                <wp:extent cx="13680" cy="25200"/>
                <wp:effectExtent l="57150" t="38100" r="43815" b="51435"/>
                <wp:wrapNone/>
                <wp:docPr id="43" name="Ink 43"/>
                <wp:cNvGraphicFramePr/>
                <a:graphic xmlns:a="http://schemas.openxmlformats.org/drawingml/2006/main">
                  <a:graphicData uri="http://schemas.microsoft.com/office/word/2010/wordprocessingInk">
                    <w14:contentPart bwMode="auto" r:id="rId22">
                      <w14:nvContentPartPr>
                        <w14:cNvContentPartPr/>
                      </w14:nvContentPartPr>
                      <w14:xfrm>
                        <a:off x="0" y="0"/>
                        <a:ext cx="13680" cy="25200"/>
                      </w14:xfrm>
                    </w14:contentPart>
                  </a:graphicData>
                </a:graphic>
              </wp:anchor>
            </w:drawing>
          </mc:Choice>
          <mc:Fallback>
            <w:pict>
              <v:shapetype w14:anchorId="5BCA74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6.75pt;margin-top:83.65pt;width:2.65pt;height:3.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">
                <v:imagedata r:id="rId23" o:title=""/>
              </v:shape>
            </w:pict>
          </mc:Fallback>
        </mc:AlternateContent>
      </w:r>
      <w:r>
        <w:rPr>
          <w:noProof/>
        </w:rPr>
        <mc:AlternateContent>
          <mc:Choice Requires="wpi">
            <w:drawing>
              <wp:anchor distT="0" distB="0" distL="114300" distR="114300" simplePos="0" relativeHeight="251659264" behindDoc="0" locked="0" layoutInCell="1" allowOverlap="1" wp14:anchorId="14438491" wp14:editId="26CE8625">
                <wp:simplePos x="0" y="0"/>
                <wp:positionH relativeFrom="column">
                  <wp:posOffset>30105</wp:posOffset>
                </wp:positionH>
                <wp:positionV relativeFrom="paragraph">
                  <wp:posOffset>1038255</wp:posOffset>
                </wp:positionV>
                <wp:extent cx="84960" cy="74520"/>
                <wp:effectExtent l="57150" t="38100" r="48895" b="40005"/>
                <wp:wrapNone/>
                <wp:docPr id="42" name="Ink 42"/>
                <wp:cNvGraphicFramePr/>
                <a:graphic xmlns:a="http://schemas.openxmlformats.org/drawingml/2006/main">
                  <a:graphicData uri="http://schemas.microsoft.com/office/word/2010/wordprocessingInk">
                    <w14:contentPart bwMode="auto" r:id="rId24">
                      <w14:nvContentPartPr>
                        <w14:cNvContentPartPr/>
                      </w14:nvContentPartPr>
                      <w14:xfrm>
                        <a:off x="0" y="0"/>
                        <a:ext cx="84960" cy="74520"/>
                      </w14:xfrm>
                    </w14:contentPart>
                  </a:graphicData>
                </a:graphic>
              </wp:anchor>
            </w:drawing>
          </mc:Choice>
          <mc:Fallback>
            <w:pict>
              <v:shape w14:anchorId="0890F53D" id="Ink 42" o:spid="_x0000_s1026" type="#_x0000_t75" style="position:absolute;margin-left:1.65pt;margin-top:81.05pt;width:8.15pt;height: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">
                <v:imagedata r:id="rId25" o:title=""/>
              </v:shape>
            </w:pict>
          </mc:Fallback>
        </mc:AlternateContent>
      </w:r>
      <w:r w:rsidRPr="00D81017">
        <w:rPr>
          <w:noProof/>
        </w:rPr>
        <w:drawing>
          <wp:inline distT="0" distB="0" distL="0" distR="0" wp14:anchorId="79BB5AB1" wp14:editId="0AF4BF87">
            <wp:extent cx="5895975" cy="2777281"/>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00935" cy="2779617"/>
                    </a:xfrm>
                    <a:prstGeom prst="rect">
                      <a:avLst/>
                    </a:prstGeom>
                  </pic:spPr>
                </pic:pic>
              </a:graphicData>
            </a:graphic>
          </wp:inline>
        </w:drawing>
      </w:r>
    </w:p>
    <w:p w14:paraId="2869AC87" w14:textId="3ED44846" w:rsidR="00D81017" w:rsidRDefault="00D81017" w:rsidP="00F96D5E">
      <w:pPr>
        <w:pStyle w:val="ListParagraph"/>
        <w:spacing w:after="0" w:line="240" w:lineRule="auto"/>
        <w:ind w:left="0"/>
      </w:pPr>
      <w:r>
        <w:t>This figure represents the comparison of each regions revenues in January 2018 and their average monthly revenue. The blue bars represent total revenue in January 2018 and the green lines represent average monthly revenue. Average monthly revenue was calculated as total revenue over total months (48).</w:t>
      </w:r>
    </w:p>
    <w:p w14:paraId="0C616525" w14:textId="2BD79162" w:rsidR="006D1EB2" w:rsidRPr="0086797B" w:rsidRDefault="006D1EB2" w:rsidP="0086797B"/>
    <w:sectPr w:rsidR="006D1EB2" w:rsidRPr="0086797B" w:rsidSect="006B2806">
      <w:headerReference w:type="firs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05391" w14:textId="77777777" w:rsidR="00AB26D0" w:rsidRDefault="00AB26D0" w:rsidP="00E061D2">
      <w:pPr>
        <w:spacing w:after="0" w:line="240" w:lineRule="auto"/>
      </w:pPr>
      <w:r>
        <w:separator/>
      </w:r>
    </w:p>
  </w:endnote>
  <w:endnote w:type="continuationSeparator" w:id="0">
    <w:p w14:paraId="338854D7" w14:textId="77777777" w:rsidR="00AB26D0" w:rsidRDefault="00AB26D0" w:rsidP="00E0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C5D18" w14:textId="77777777" w:rsidR="00AB26D0" w:rsidRDefault="00AB26D0" w:rsidP="00E061D2">
      <w:pPr>
        <w:spacing w:after="0" w:line="240" w:lineRule="auto"/>
      </w:pPr>
      <w:r>
        <w:separator/>
      </w:r>
    </w:p>
  </w:footnote>
  <w:footnote w:type="continuationSeparator" w:id="0">
    <w:p w14:paraId="333C47EA" w14:textId="77777777" w:rsidR="00AB26D0" w:rsidRDefault="00AB26D0" w:rsidP="00E061D2">
      <w:pPr>
        <w:spacing w:after="0" w:line="240" w:lineRule="auto"/>
      </w:pPr>
      <w:r>
        <w:continuationSeparator/>
      </w:r>
    </w:p>
  </w:footnote>
  <w:footnote w:id="1">
    <w:p w14:paraId="2DFFD9AD" w14:textId="56F96523" w:rsidR="000119C9" w:rsidRDefault="000119C9">
      <w:pPr>
        <w:pStyle w:val="FootnoteText"/>
      </w:pPr>
      <w:r>
        <w:rPr>
          <w:rStyle w:val="FootnoteReference"/>
        </w:rPr>
        <w:footnoteRef/>
      </w:r>
      <w:r>
        <w:t xml:space="preserve"> There isn’t enough data to determine if this would remain true over time, the extreme poor performance in 2018 and small sample size cause January data to be heavily skewed.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306876"/>
      <w:docPartObj>
        <w:docPartGallery w:val="Page Numbers (Top of Page)"/>
        <w:docPartUnique/>
      </w:docPartObj>
    </w:sdtPr>
    <w:sdtEndPr>
      <w:rPr>
        <w:noProof/>
      </w:rPr>
    </w:sdtEndPr>
    <w:sdtContent>
      <w:p w14:paraId="2C731FBE" w14:textId="4B0867EF" w:rsidR="006B2806" w:rsidRDefault="006B28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1E439F" w14:textId="77777777" w:rsidR="006B2806" w:rsidRDefault="006B28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D64AF" w14:textId="41CFD70D" w:rsidR="006B2806" w:rsidRDefault="006B2806">
    <w:pPr>
      <w:pStyle w:val="Header"/>
      <w:jc w:val="right"/>
    </w:pPr>
  </w:p>
  <w:p w14:paraId="593C5AD3" w14:textId="77777777" w:rsidR="006B2806" w:rsidRDefault="006B2806" w:rsidP="00C0392A">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304B3" w14:textId="0EFC118B" w:rsidR="006B2806" w:rsidRDefault="006B2806">
    <w:pPr>
      <w:pStyle w:val="Header"/>
      <w:jc w:val="right"/>
    </w:pPr>
  </w:p>
  <w:p w14:paraId="02381B2D" w14:textId="77777777" w:rsidR="006B2806" w:rsidRDefault="006B2806" w:rsidP="00C0392A">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3E2"/>
    <w:multiLevelType w:val="hybridMultilevel"/>
    <w:tmpl w:val="48E4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B12D5A"/>
    <w:multiLevelType w:val="hybridMultilevel"/>
    <w:tmpl w:val="D2DAABB8"/>
    <w:lvl w:ilvl="0" w:tplc="5DE20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773114">
    <w:abstractNumId w:val="1"/>
  </w:num>
  <w:num w:numId="2" w16cid:durableId="2019959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24"/>
    <w:rsid w:val="00004695"/>
    <w:rsid w:val="000119C9"/>
    <w:rsid w:val="00037B64"/>
    <w:rsid w:val="0009568B"/>
    <w:rsid w:val="000C6C71"/>
    <w:rsid w:val="000D0584"/>
    <w:rsid w:val="000D659E"/>
    <w:rsid w:val="00106741"/>
    <w:rsid w:val="00111C1B"/>
    <w:rsid w:val="001164B9"/>
    <w:rsid w:val="001234E5"/>
    <w:rsid w:val="001243D7"/>
    <w:rsid w:val="0012640A"/>
    <w:rsid w:val="00143DA9"/>
    <w:rsid w:val="00156BED"/>
    <w:rsid w:val="00161E33"/>
    <w:rsid w:val="001C72E2"/>
    <w:rsid w:val="001E5E71"/>
    <w:rsid w:val="00201A8A"/>
    <w:rsid w:val="0021340C"/>
    <w:rsid w:val="00233D01"/>
    <w:rsid w:val="00254986"/>
    <w:rsid w:val="00260B99"/>
    <w:rsid w:val="002B1D37"/>
    <w:rsid w:val="002B52B5"/>
    <w:rsid w:val="002D7366"/>
    <w:rsid w:val="00302021"/>
    <w:rsid w:val="00307EF4"/>
    <w:rsid w:val="00310BAA"/>
    <w:rsid w:val="003232F4"/>
    <w:rsid w:val="00324FCB"/>
    <w:rsid w:val="0032571D"/>
    <w:rsid w:val="00330B37"/>
    <w:rsid w:val="00330F5C"/>
    <w:rsid w:val="00334D98"/>
    <w:rsid w:val="00397F18"/>
    <w:rsid w:val="003C3EDE"/>
    <w:rsid w:val="003F23F1"/>
    <w:rsid w:val="00417ACD"/>
    <w:rsid w:val="0042400E"/>
    <w:rsid w:val="004411F6"/>
    <w:rsid w:val="00442300"/>
    <w:rsid w:val="0047235A"/>
    <w:rsid w:val="00486D9D"/>
    <w:rsid w:val="004964CA"/>
    <w:rsid w:val="004B1F47"/>
    <w:rsid w:val="004B28FC"/>
    <w:rsid w:val="004F5553"/>
    <w:rsid w:val="00502709"/>
    <w:rsid w:val="005200A9"/>
    <w:rsid w:val="00521D51"/>
    <w:rsid w:val="00525B93"/>
    <w:rsid w:val="0056508D"/>
    <w:rsid w:val="00596623"/>
    <w:rsid w:val="005B5295"/>
    <w:rsid w:val="005E7B46"/>
    <w:rsid w:val="005F0DA3"/>
    <w:rsid w:val="00601971"/>
    <w:rsid w:val="00603AE0"/>
    <w:rsid w:val="00604BBE"/>
    <w:rsid w:val="00647AC5"/>
    <w:rsid w:val="00665944"/>
    <w:rsid w:val="006708E5"/>
    <w:rsid w:val="0069700B"/>
    <w:rsid w:val="006A55FD"/>
    <w:rsid w:val="006B2806"/>
    <w:rsid w:val="006B6714"/>
    <w:rsid w:val="006B7581"/>
    <w:rsid w:val="006D1EB2"/>
    <w:rsid w:val="006D3024"/>
    <w:rsid w:val="006D7599"/>
    <w:rsid w:val="00721FBB"/>
    <w:rsid w:val="0073294F"/>
    <w:rsid w:val="00751C41"/>
    <w:rsid w:val="00793DC9"/>
    <w:rsid w:val="007B00B3"/>
    <w:rsid w:val="007E243D"/>
    <w:rsid w:val="0081236A"/>
    <w:rsid w:val="0082545E"/>
    <w:rsid w:val="0086797B"/>
    <w:rsid w:val="00873A64"/>
    <w:rsid w:val="008877BE"/>
    <w:rsid w:val="008A4E05"/>
    <w:rsid w:val="008C0EF1"/>
    <w:rsid w:val="008C3088"/>
    <w:rsid w:val="008E108C"/>
    <w:rsid w:val="008E2CDD"/>
    <w:rsid w:val="008E3CEA"/>
    <w:rsid w:val="008F566F"/>
    <w:rsid w:val="00921C3C"/>
    <w:rsid w:val="009236C3"/>
    <w:rsid w:val="00925485"/>
    <w:rsid w:val="00927C95"/>
    <w:rsid w:val="00964222"/>
    <w:rsid w:val="00990808"/>
    <w:rsid w:val="009A5529"/>
    <w:rsid w:val="009A70EC"/>
    <w:rsid w:val="009B5C2E"/>
    <w:rsid w:val="009F0953"/>
    <w:rsid w:val="009F2D23"/>
    <w:rsid w:val="00A01CBA"/>
    <w:rsid w:val="00A1573E"/>
    <w:rsid w:val="00A24F39"/>
    <w:rsid w:val="00A27F05"/>
    <w:rsid w:val="00A4314A"/>
    <w:rsid w:val="00A530EF"/>
    <w:rsid w:val="00A82EDD"/>
    <w:rsid w:val="00A935FC"/>
    <w:rsid w:val="00A945C2"/>
    <w:rsid w:val="00AB014F"/>
    <w:rsid w:val="00AB26D0"/>
    <w:rsid w:val="00AC142C"/>
    <w:rsid w:val="00AF492B"/>
    <w:rsid w:val="00AF5F8C"/>
    <w:rsid w:val="00B060EB"/>
    <w:rsid w:val="00B27273"/>
    <w:rsid w:val="00B472D7"/>
    <w:rsid w:val="00B606A3"/>
    <w:rsid w:val="00B60D05"/>
    <w:rsid w:val="00B958C0"/>
    <w:rsid w:val="00BC6055"/>
    <w:rsid w:val="00BD6D4C"/>
    <w:rsid w:val="00BE4DE0"/>
    <w:rsid w:val="00C0392A"/>
    <w:rsid w:val="00C04291"/>
    <w:rsid w:val="00C267A4"/>
    <w:rsid w:val="00C31DD1"/>
    <w:rsid w:val="00C31EFF"/>
    <w:rsid w:val="00C321D9"/>
    <w:rsid w:val="00C338BE"/>
    <w:rsid w:val="00C51626"/>
    <w:rsid w:val="00C5470F"/>
    <w:rsid w:val="00C635EB"/>
    <w:rsid w:val="00C6568B"/>
    <w:rsid w:val="00C77E72"/>
    <w:rsid w:val="00C87A0F"/>
    <w:rsid w:val="00C957DC"/>
    <w:rsid w:val="00CB2299"/>
    <w:rsid w:val="00CC01AB"/>
    <w:rsid w:val="00CC6D68"/>
    <w:rsid w:val="00D54E0B"/>
    <w:rsid w:val="00D81017"/>
    <w:rsid w:val="00D8764F"/>
    <w:rsid w:val="00DC03CE"/>
    <w:rsid w:val="00DD6AD9"/>
    <w:rsid w:val="00E060F9"/>
    <w:rsid w:val="00E061D2"/>
    <w:rsid w:val="00E11768"/>
    <w:rsid w:val="00E1413D"/>
    <w:rsid w:val="00E33825"/>
    <w:rsid w:val="00E56831"/>
    <w:rsid w:val="00E64E2C"/>
    <w:rsid w:val="00EA553C"/>
    <w:rsid w:val="00EA7365"/>
    <w:rsid w:val="00EB2D67"/>
    <w:rsid w:val="00F3452B"/>
    <w:rsid w:val="00F7667B"/>
    <w:rsid w:val="00F96D5E"/>
    <w:rsid w:val="00F97E3D"/>
    <w:rsid w:val="00FA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BF0D1"/>
  <w15:chartTrackingRefBased/>
  <w15:docId w15:val="{579C034B-B039-4136-AF3E-076E5E96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D23"/>
    <w:pPr>
      <w:ind w:left="720"/>
      <w:contextualSpacing/>
    </w:pPr>
  </w:style>
  <w:style w:type="paragraph" w:styleId="Header">
    <w:name w:val="header"/>
    <w:basedOn w:val="Normal"/>
    <w:link w:val="HeaderChar"/>
    <w:uiPriority w:val="99"/>
    <w:unhideWhenUsed/>
    <w:rsid w:val="00E06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1D2"/>
  </w:style>
  <w:style w:type="paragraph" w:styleId="Footer">
    <w:name w:val="footer"/>
    <w:basedOn w:val="Normal"/>
    <w:link w:val="FooterChar"/>
    <w:uiPriority w:val="99"/>
    <w:unhideWhenUsed/>
    <w:rsid w:val="00E06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1D2"/>
  </w:style>
  <w:style w:type="paragraph" w:styleId="FootnoteText">
    <w:name w:val="footnote text"/>
    <w:basedOn w:val="Normal"/>
    <w:link w:val="FootnoteTextChar"/>
    <w:uiPriority w:val="99"/>
    <w:semiHidden/>
    <w:unhideWhenUsed/>
    <w:rsid w:val="00011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19C9"/>
    <w:rPr>
      <w:sz w:val="20"/>
      <w:szCs w:val="20"/>
    </w:rPr>
  </w:style>
  <w:style w:type="character" w:styleId="FootnoteReference">
    <w:name w:val="footnote reference"/>
    <w:basedOn w:val="DefaultParagraphFont"/>
    <w:uiPriority w:val="99"/>
    <w:semiHidden/>
    <w:unhideWhenUsed/>
    <w:rsid w:val="000119C9"/>
    <w:rPr>
      <w:vertAlign w:val="superscript"/>
    </w:rPr>
  </w:style>
  <w:style w:type="character" w:customStyle="1" w:styleId="Heading1Char">
    <w:name w:val="Heading 1 Char"/>
    <w:basedOn w:val="DefaultParagraphFont"/>
    <w:link w:val="Heading1"/>
    <w:uiPriority w:val="9"/>
    <w:rsid w:val="000D65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659E"/>
    <w:pPr>
      <w:outlineLvl w:val="9"/>
    </w:pPr>
  </w:style>
  <w:style w:type="paragraph" w:styleId="TOC2">
    <w:name w:val="toc 2"/>
    <w:basedOn w:val="Normal"/>
    <w:next w:val="Normal"/>
    <w:autoRedefine/>
    <w:uiPriority w:val="39"/>
    <w:unhideWhenUsed/>
    <w:rsid w:val="000D659E"/>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0D659E"/>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0D659E"/>
    <w:pPr>
      <w:spacing w:after="100"/>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customXml" Target="ink/ink1.xml"/><Relationship Id="rId27"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23:13:23.123"/>
    </inkml:context>
    <inkml:brush xml:id="br0">
      <inkml:brushProperty name="width" value="0.05521" units="cm"/>
      <inkml:brushProperty name="height" value="0.05521" units="cm"/>
      <inkml:brushProperty name="color" value="#FFFFFF"/>
    </inkml:brush>
  </inkml:definitions>
  <inkml:trace contextRef="#ctx0" brushRef="#br0">26 7 24575,'0'-3'0,"-2"0"0,-1 3 0,-2 0 0,0 4 0,0 2 0,2 3 0,1 2 0,3 0 0,3-3 0,2 0 0,2-2 0,1-1 0,0-5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2T23:13:14.934"/>
    </inkml:context>
    <inkml:brush xml:id="br0">
      <inkml:brushProperty name="width" value="0.05" units="cm"/>
      <inkml:brushProperty name="height" value="0.05" units="cm"/>
      <inkml:brushProperty name="color" value="#FFFFFF"/>
    </inkml:brush>
  </inkml:definitions>
  <inkml:trace contextRef="#ctx0" brushRef="#br0">102 127 24575,'-23'0'0,"-26"1"0,35-3 0,14 2 0,0 0 0,0 0 0,0 0 0,0 0 0,0 0 0,0 0 0,0 0 0,0 0 0,1 0 0,-1 0 0,0 0 0,0 0 0,0 0 0,0 0 0,0 0 0,0 0 0,0 0 0,0 0 0,0 0 0,1 0 0,-1 0 0,0 0 0,0 0 0,0 0 0,0 0 0,0-1 0,0 1 0,0 0 0,0 0 0,0 0 0,0 0 0,0 0 0,0 0 0,0 0 0,0 0 0,0 0 0,0 0 0,0-1 0,0 1 0,0 0 0,0 0 0,0 0 0,0 0 0,0 0 0,0 0 0,0 0 0,0 0 0,0-1 0,0 1 0,0 0 0,0 0 0,0 0 0,0 0 0,0 0 0,0 0 0,0 0 0,0 0 0,0 0 0,0 0 0,0 0 0,0-1 0,0 1 0,0 0 0,-1 0 0,12-4 0,0 1 0,0 0 0,0 1 0,18-2 0,27-7 0,-45 6 0,-11 0 0,-21-1 0,-32 0 0,29 8 0,18-1 0,0-1 0,0 1 0,0-1 0,1 0 0,-1-1 0,0 1 0,-11-3 0,57-21 0,-18 15 0,0 0 0,1 1 0,40-7 0,-43 11 0,-16 3 0,-1 0 0,1 0 0,-1 1 0,1 0 0,-1 0 0,1 0 0,-1 0 0,1 0 0,3 1 0,-6-1 0,-1 0 0,0 1 0,1-1 0,-1 0 0,0 0 0,0 0 0,1 0 0,-1 0 0,0 1 0,1-1 0,-1 0 0,0 0 0,0 0 0,0 1 0,1-1 0,-1 0 0,0 0 0,0 1 0,0-1 0,1 0 0,-1 1 0,0-1 0,0 0 0,0 0 0,0 1 0,0-1 0,0 0 0,0 1 0,0-1 0,0 0 0,0 1 0,0-1 0,0 0 0,0 1 0,-14 17 0,-40 24 0,36-29 0,0 0 0,1 1 0,-20 22 0,38-35 0,-1-1 0,0 1 0,0-1 0,1 1 0,-1-1 0,0 1 0,1-1 0,-1 0 0,0 1 0,1-1 0,-1 1 0,1-1 0,-1 0 0,0 1 0,1-1 0,-1 0 0,1 0 0,-1 1 0,1-1 0,-1 0 0,1 0 0,0 0 0,-1 0 0,1 1 0,-1-1 0,1 0 0,-1 0 0,1 0 0,-1 0 0,1 0 0,0 0 0,-1-1 0,1 1 0,-1 0 0,2 0 0,25 1 0,16 1 0,-34 4 0,-28 5 0,-77 19 0,229-29 0,-132-1 0,-1-1 0,1 1 0,-1-1 0,1 0 0,-1 1 0,1-1 0,-1 1 0,0-1 0,1 0 0,-1 1 0,0-1 0,0 0 0,1 0 0,-1 1 0,0-1 0,0 0 0,0 0 0,0 1 0,0-1 0,0 0 0,0 0 0,0 1 0,0-1 0,-1 0 0,1 1 0,0-1 0,0 0 0,-1 0 0,-6-37 0,3 20 0,1-7-1365,1 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C12DD-D64D-4455-B9A1-6BEC55977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2863</TotalTime>
  <Pages>14</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Tyrell Roberts</dc:creator>
  <cp:keywords/>
  <dc:description/>
  <cp:lastModifiedBy>Tyrell Roberts</cp:lastModifiedBy>
  <cp:revision>19</cp:revision>
  <dcterms:created xsi:type="dcterms:W3CDTF">2022-07-11T14:07:00Z</dcterms:created>
  <dcterms:modified xsi:type="dcterms:W3CDTF">2022-07-15T16:38:00Z</dcterms:modified>
</cp:coreProperties>
</file>