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240" w:after="240"/>
        <w:ind w:hanging="0" w:start="0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0" w:name="_tujvyq4erjpu"/>
      <w:bookmarkEnd w:id="0"/>
      <w:r>
        <w:rPr>
          <w:b/>
          <w:bCs/>
          <w:sz w:val="34"/>
          <w:szCs w:val="34"/>
        </w:rPr>
        <w:t xml:space="preserve">📊 </w:t>
      </w:r>
      <w:r>
        <w:rPr>
          <w:b/>
          <w:bCs/>
          <w:sz w:val="34"/>
          <w:szCs w:val="34"/>
        </w:rPr>
        <w:t>Dataset</w:t>
      </w:r>
    </w:p>
    <w:p>
      <w:pPr>
        <w:pStyle w:val="normal1"/>
        <w:spacing w:lineRule="auto" w:line="240" w:before="240" w:after="240"/>
        <w:rPr/>
      </w:pPr>
      <w:r>
        <w:rPr/>
        <w:t xml:space="preserve">Dataset symuluje uproszczony model sprzedaży polis ubezpieczeniowych dla fikcyjnej agencji </w:t>
      </w:r>
      <w:r>
        <w:rPr>
          <w:b/>
          <w:bCs/>
        </w:rPr>
        <w:t>Polisfera</w:t>
      </w:r>
      <w:r>
        <w:rPr/>
        <w:t>.</w:t>
      </w:r>
    </w:p>
    <w:p>
      <w:pPr>
        <w:pStyle w:val="normal1"/>
        <w:spacing w:lineRule="auto" w:line="240" w:before="240" w:after="240"/>
        <w:rPr/>
      </w:pPr>
      <w:r>
        <w:rPr/>
        <w:t>Dane obejmują m.in.:</w:t>
      </w:r>
    </w:p>
    <w:p>
      <w:pPr>
        <w:pStyle w:val="normal1"/>
        <w:numPr>
          <w:ilvl w:val="0"/>
          <w:numId w:val="14"/>
        </w:numPr>
        <w:spacing w:lineRule="auto" w:line="240" w:before="240" w:afterAutospacing="0" w:after="0"/>
        <w:ind w:hanging="360" w:start="720"/>
        <w:rPr/>
      </w:pPr>
      <w:r>
        <w:rPr/>
        <w:t>polisy ubezpieczeniowe,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/>
      </w:pPr>
      <w:r>
        <w:rPr/>
        <w:t>klientów,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/>
      </w:pPr>
      <w:r>
        <w:rPr/>
        <w:t>produkty ubezpieczeniowe,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/>
      </w:pPr>
      <w:r>
        <w:rPr/>
        <w:t>agentów sprzedaży,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/>
      </w:pPr>
      <w:r>
        <w:rPr/>
        <w:t>oddziały, województwa i regiony,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/>
      </w:pPr>
      <w:r>
        <w:rPr/>
        <w:t>kanały sprzedaży,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/>
      </w:pPr>
      <w:r>
        <w:rPr/>
        <w:t>płatności składek,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="240"/>
        <w:ind w:hanging="360" w:start="720"/>
        <w:rPr/>
      </w:pPr>
      <w:r>
        <w:rPr/>
        <w:t>szkody i odszkodowania.</w:t>
      </w:r>
    </w:p>
    <w:p>
      <w:pPr>
        <w:pStyle w:val="normal1"/>
        <w:spacing w:lineRule="auto" w:line="240" w:before="240" w:after="240"/>
        <w:rPr/>
      </w:pPr>
      <w:r>
        <w:rPr/>
        <w:t xml:space="preserve">Główna tabela faktów to </w:t>
      </w:r>
      <w:r>
        <w:rPr>
          <w:rFonts w:eastAsia="Roboto Mono" w:cs="Roboto Mono" w:ascii="Roboto Mono" w:hAnsi="Roboto Mono"/>
          <w:color w:val="188038"/>
        </w:rPr>
        <w:t>Fact_Policies</w:t>
      </w:r>
      <w:r>
        <w:rPr/>
        <w:t>, która zawiera informacje o sprzedaży polis, takie jak: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/>
      </w:pPr>
      <w:r>
        <w:rPr/>
        <w:t>identyfikator polisy,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data rozpoczęcia i zakończenia polisy,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klient,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produkt,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agent,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oddział,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składka przypisana,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prowizja,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start="720"/>
        <w:rPr/>
      </w:pPr>
      <w:r>
        <w:rPr/>
        <w:t>status polisy.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" w:name="_tkds09kkrj1f"/>
      <w:bookmarkEnd w:id="1"/>
      <w:r>
        <w:rPr>
          <w:b/>
          <w:bCs/>
          <w:sz w:val="34"/>
          <w:szCs w:val="34"/>
        </w:rPr>
        <w:t xml:space="preserve">🧱 </w:t>
      </w:r>
      <w:r>
        <w:rPr>
          <w:b/>
          <w:bCs/>
          <w:sz w:val="34"/>
          <w:szCs w:val="34"/>
        </w:rPr>
        <w:t>Model danych</w:t>
      </w:r>
    </w:p>
    <w:p>
      <w:pPr>
        <w:pStyle w:val="normal1"/>
        <w:spacing w:lineRule="auto" w:line="240" w:before="240" w:after="240"/>
        <w:rPr/>
      </w:pPr>
      <w:r>
        <w:rPr/>
        <w:t xml:space="preserve">Model został zbudowany w podejściu zbliżonym do </w:t>
      </w:r>
      <w:r>
        <w:rPr>
          <w:b/>
          <w:bCs/>
        </w:rPr>
        <w:t>star schema</w:t>
      </w:r>
      <w:r>
        <w:rPr/>
        <w:t>.</w:t>
      </w:r>
    </w:p>
    <w:p>
      <w:pPr>
        <w:pStyle w:val="normal1"/>
        <w:spacing w:lineRule="auto" w:line="240" w:before="240" w:after="240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378200"/>
            <wp:effectExtent l="0" t="0" r="0" b="0"/>
            <wp:wrapSquare wrapText="largest"/>
            <wp:docPr id="5" name="Obr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 w:before="240" w:after="240"/>
        <w:rPr/>
      </w:pPr>
      <w:r>
        <w:rPr/>
        <w:t>W modelu znajdują się następujące tabele: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" w:name="_oqo7mnlbezkx"/>
      <w:bookmarkEnd w:id="2"/>
      <w:r>
        <w:rPr>
          <w:b/>
          <w:bCs/>
          <w:color w:val="000000"/>
          <w:sz w:val="26"/>
          <w:szCs w:val="26"/>
        </w:rPr>
        <w:t>Tabele wymiarów</w:t>
      </w:r>
    </w:p>
    <w:p>
      <w:pPr>
        <w:pStyle w:val="normal1"/>
        <w:numPr>
          <w:ilvl w:val="0"/>
          <w:numId w:val="11"/>
        </w:numPr>
        <w:spacing w:lineRule="auto" w:line="240" w:before="240" w:afterAutospacing="0" w:after="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Dim_Date</w:t>
      </w:r>
      <w:r>
        <w:rPr/>
        <w:t xml:space="preserve"> — tabela kalendarza,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Dim_Customers</w:t>
      </w:r>
      <w:r>
        <w:rPr/>
        <w:t xml:space="preserve"> — dane klientów,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Dim_Products</w:t>
      </w:r>
      <w:r>
        <w:rPr/>
        <w:t xml:space="preserve"> — produkty ubezpieczeniowe,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Dim_Branches</w:t>
      </w:r>
      <w:r>
        <w:rPr/>
        <w:t xml:space="preserve"> — regiony, województwa i oddziały,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Dim_Agents</w:t>
      </w:r>
      <w:r>
        <w:rPr/>
        <w:t xml:space="preserve"> — agenci sprzedaży,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="24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Dim_Sales_Channels</w:t>
      </w:r>
      <w:r>
        <w:rPr/>
        <w:t xml:space="preserve"> — kanały sprzedaży.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" w:name="_z7zl23ov2kvx"/>
      <w:bookmarkEnd w:id="3"/>
      <w:r>
        <w:rPr>
          <w:b/>
          <w:bCs/>
          <w:color w:val="000000"/>
          <w:sz w:val="26"/>
          <w:szCs w:val="26"/>
        </w:rPr>
        <w:t>Tabele faktów</w:t>
      </w:r>
    </w:p>
    <w:p>
      <w:pPr>
        <w:pStyle w:val="normal1"/>
        <w:numPr>
          <w:ilvl w:val="0"/>
          <w:numId w:val="10"/>
        </w:numPr>
        <w:spacing w:lineRule="auto" w:line="240" w:before="240" w:afterAutospacing="0" w:after="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Fact_Policies</w:t>
      </w:r>
      <w:r>
        <w:rPr/>
        <w:t xml:space="preserve"> — sprzedaż polis,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Fact_Premium_Payments</w:t>
      </w:r>
      <w:r>
        <w:rPr/>
        <w:t xml:space="preserve"> — płatności składek</w:t>
      </w:r>
    </w:p>
    <w:p>
      <w:pPr>
        <w:pStyle w:val="normal1"/>
        <w:spacing w:lineRule="auto" w:line="240" w:beforeAutospacing="0" w:before="0" w:after="240"/>
        <w:ind w:hanging="0" w:start="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Główne relacje zostały oparte o klucze: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Date</w:t>
      </w:r>
      <w:r>
        <w:rPr/>
        <w:t>,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Customer ID</w:t>
      </w:r>
      <w:r>
        <w:rPr/>
        <w:t>,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Product ID</w:t>
      </w:r>
      <w:r>
        <w:rPr/>
        <w:t>,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Branch ID</w:t>
      </w:r>
      <w:r>
        <w:rPr/>
        <w:t>,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Agent ID</w:t>
      </w:r>
      <w:r>
        <w:rPr/>
        <w:t>,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Policy ID</w:t>
      </w:r>
      <w:r>
        <w:rPr/>
        <w:t>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" w:name="_qbtuyg5w7juk"/>
      <w:bookmarkEnd w:id="4"/>
      <w:r>
        <w:rPr>
          <w:b/>
          <w:bCs/>
          <w:sz w:val="34"/>
          <w:szCs w:val="34"/>
        </w:rPr>
        <w:t xml:space="preserve">📈 </w:t>
      </w:r>
      <w:r>
        <w:rPr>
          <w:b/>
          <w:bCs/>
          <w:sz w:val="34"/>
          <w:szCs w:val="34"/>
        </w:rPr>
        <w:t>Strony raportu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5" w:name="_pmi09q8e3gku"/>
      <w:bookmarkEnd w:id="5"/>
      <w:r>
        <w:rPr>
          <w:b/>
          <w:bCs/>
          <w:color w:val="000000"/>
          <w:sz w:val="26"/>
          <w:szCs w:val="26"/>
        </w:rPr>
        <w:t>1. Executive Summary</w:t>
      </w:r>
    </w:p>
    <w:p>
      <w:pPr>
        <w:pStyle w:val="normal1"/>
        <w:spacing w:lineRule="auto" w:line="240" w:before="240" w:after="240"/>
        <w:rPr/>
      </w:pPr>
      <w:r>
        <w:rPr/>
        <w:t>Strona przedstawia strategiczny widok sprzedaży ubezpieczeń.</w:t>
      </w:r>
    </w:p>
    <w:p>
      <w:pPr>
        <w:pStyle w:val="normal1"/>
        <w:spacing w:lineRule="auto" w:line="240" w:before="240" w:after="240"/>
        <w:rPr/>
      </w:pPr>
      <w:r>
        <w:rPr/>
        <w:t>Zawiera główne KPI: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start="720"/>
        <w:rPr/>
      </w:pPr>
      <w:r>
        <w:rPr/>
        <w:t>liczba polis,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składka przypisana,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składka opłacona,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prowizja,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start="720"/>
        <w:rPr/>
      </w:pPr>
      <w:r>
        <w:rPr/>
        <w:t>liczba klientów.</w:t>
      </w:r>
    </w:p>
    <w:p>
      <w:pPr>
        <w:pStyle w:val="normal1"/>
        <w:spacing w:lineRule="auto" w:line="240" w:before="240" w:after="240"/>
        <w:rPr/>
      </w:pPr>
      <w:r>
        <w:rPr/>
        <w:t>Wizualizacje na stronie:</w:t>
      </w:r>
    </w:p>
    <w:p>
      <w:pPr>
        <w:pStyle w:val="normal1"/>
        <w:numPr>
          <w:ilvl w:val="0"/>
          <w:numId w:val="13"/>
        </w:numPr>
        <w:spacing w:lineRule="auto" w:line="240" w:before="240" w:afterAutospacing="0" w:after="0"/>
        <w:ind w:hanging="360" w:start="720"/>
        <w:rPr/>
      </w:pPr>
      <w:r>
        <w:rPr/>
        <w:t>struktura sprzedaży według kanałów sprzedaży,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start="720"/>
        <w:rPr/>
      </w:pPr>
      <w:r>
        <w:rPr/>
        <w:t>trend składki przypisanej z porównaniem do poprzedniego roku,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start="720"/>
        <w:rPr/>
      </w:pPr>
      <w:r>
        <w:rPr/>
        <w:t>Top 5 grup produktów według składki,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="240"/>
        <w:ind w:hanging="360" w:start="720"/>
        <w:rPr/>
      </w:pPr>
      <w:r>
        <w:rPr/>
        <w:t>sprzedaż polis według klasy ryzyka produktu.</w:t>
      </w:r>
    </w:p>
    <w:p>
      <w:pPr>
        <w:pStyle w:val="normal1"/>
        <w:spacing w:lineRule="auto" w:line="240" w:before="240" w:after="240"/>
        <w:rPr/>
      </w:pPr>
      <w:r>
        <w:rPr/>
        <w:t>Strona odpowiada na pytania: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start="720"/>
        <w:rPr/>
      </w:pPr>
      <w:r>
        <w:rPr/>
        <w:t>jaka jest całkowita wartość sprzedaży?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które kanały sprzedaży generują największą składkę?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jak zmieniała się składka przypisana rok do roku?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które grupy produktów mają największy udział w sprzedaży?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start="720"/>
        <w:rPr/>
      </w:pPr>
      <w:r>
        <w:rPr/>
        <w:t>jaka jest struktura sprzedaży według klasy ryzyka produktu?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6" w:name="_x110deinm6q5"/>
      <w:bookmarkEnd w:id="6"/>
      <w:r>
        <w:rPr>
          <w:b/>
          <w:bCs/>
          <w:color w:val="000000"/>
          <w:sz w:val="26"/>
          <w:szCs w:val="26"/>
        </w:rPr>
        <w:t>2. Sales - Management</w:t>
      </w:r>
    </w:p>
    <w:p>
      <w:pPr>
        <w:pStyle w:val="normal1"/>
        <w:spacing w:lineRule="auto" w:line="240" w:before="240" w:after="240"/>
        <w:rPr/>
      </w:pPr>
      <w:r>
        <w:rPr/>
        <w:t>Strona przedstawia bardziej szczegółową analizę menedżerską i operacyjną.</w:t>
      </w:r>
    </w:p>
    <w:p>
      <w:pPr>
        <w:pStyle w:val="normal1"/>
        <w:spacing w:lineRule="auto" w:line="240" w:before="240" w:after="240"/>
        <w:rPr/>
      </w:pPr>
      <w:r>
        <w:rPr/>
        <w:t>Główna część strony to matrix z hierarchią:</w:t>
      </w:r>
    </w:p>
    <w:p>
      <w:pPr>
        <w:pStyle w:val="normal1"/>
        <w:rPr/>
      </w:pPr>
      <w:r>
        <w:rPr/>
        <w:t>Region → Województwo → Oddział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Matrix zawiera m.in.:</w:t>
      </w:r>
    </w:p>
    <w:p>
      <w:pPr>
        <w:pStyle w:val="normal1"/>
        <w:numPr>
          <w:ilvl w:val="0"/>
          <w:numId w:val="12"/>
        </w:numPr>
        <w:spacing w:lineRule="auto" w:line="240" w:before="240" w:afterAutospacing="0" w:after="0"/>
        <w:ind w:hanging="360" w:start="720"/>
        <w:rPr/>
      </w:pPr>
      <w:r>
        <w:rPr/>
        <w:t>liczbę polis,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start="720"/>
        <w:rPr/>
      </w:pPr>
      <w:r>
        <w:rPr/>
        <w:t>liczbę polis YTD,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start="720"/>
        <w:rPr/>
      </w:pPr>
      <w:r>
        <w:rPr/>
        <w:t>składkę przypisaną,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start="720"/>
        <w:rPr/>
      </w:pPr>
      <w:r>
        <w:rPr/>
        <w:t>składkę przypisaną LY,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start="720"/>
        <w:rPr/>
      </w:pPr>
      <w:r>
        <w:rPr/>
        <w:t>zmianę YoY %,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start="720"/>
        <w:rPr/>
      </w:pPr>
      <w:r>
        <w:rPr/>
        <w:t>prowizję,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start="720"/>
        <w:rPr/>
      </w:pPr>
      <w:r>
        <w:rPr/>
        <w:t>średnią składkę,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="240"/>
        <w:ind w:hanging="360" w:start="720"/>
        <w:rPr/>
      </w:pPr>
      <w:r>
        <w:rPr/>
        <w:t>udział w regionie %.</w:t>
      </w:r>
    </w:p>
    <w:p>
      <w:pPr>
        <w:pStyle w:val="normal1"/>
        <w:spacing w:lineRule="auto" w:line="240" w:before="240" w:after="240"/>
        <w:rPr/>
      </w:pPr>
      <w:r>
        <w:rPr/>
        <w:t>Dodatkowo strona zawiera: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hanging="360" w:start="720"/>
        <w:rPr/>
      </w:pPr>
      <w:r>
        <w:rPr/>
        <w:t>strukturę wariantów produktu według regionu,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="240"/>
        <w:ind w:hanging="360" w:start="720"/>
        <w:rPr/>
      </w:pPr>
      <w:r>
        <w:rPr/>
        <w:t>Top 10 agentów według prowizji.</w:t>
      </w:r>
    </w:p>
    <w:p>
      <w:pPr>
        <w:pStyle w:val="normal1"/>
        <w:spacing w:lineRule="auto" w:line="240" w:before="240" w:after="240"/>
        <w:rPr/>
      </w:pPr>
      <w:r>
        <w:rPr/>
        <w:t>Strona odpowiada na pytania: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hanging="360" w:start="720"/>
        <w:rPr/>
      </w:pPr>
      <w:r>
        <w:rPr/>
        <w:t>które regiony i województwa odpowiadają za największą sprzedaż?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/>
        <w:t>jak sprzedaż zmieniła się rok do roku?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/>
        <w:t>które jednostki mają największy udział w sprzedaży regionu?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/>
        <w:t>którzy agenci wygenerowali najwyższą prowizję?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="240"/>
        <w:ind w:hanging="360" w:start="720"/>
        <w:rPr/>
      </w:pPr>
      <w:r>
        <w:rPr/>
        <w:t>jak wygląda mix wariantów produktów w regionach?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7" w:name="_8v8hdiclps6o"/>
      <w:bookmarkEnd w:id="7"/>
      <w:r>
        <w:rPr>
          <w:b/>
          <w:bCs/>
          <w:color w:val="000000"/>
          <w:sz w:val="26"/>
          <w:szCs w:val="26"/>
        </w:rPr>
        <w:t>3. Tooltip - Product</w:t>
      </w:r>
    </w:p>
    <w:p>
      <w:pPr>
        <w:pStyle w:val="normal1"/>
        <w:spacing w:lineRule="auto" w:line="240" w:before="240" w:after="240"/>
        <w:rPr/>
      </w:pPr>
      <w:r>
        <w:rPr/>
        <w:t>Ukryta strona tooltipa została przygotowana jako dodatkowy kontekst dla wizualizacji produktowych.</w:t>
      </w:r>
    </w:p>
    <w:p>
      <w:pPr>
        <w:pStyle w:val="normal1"/>
        <w:spacing w:lineRule="auto" w:line="240" w:before="240" w:after="240"/>
        <w:rPr/>
      </w:pPr>
      <w:r>
        <w:rPr/>
        <w:t>Tooltip pokazuje szczegóły dotyczące wybranej kategorii produktu, m.in.: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start="720"/>
        <w:rPr/>
      </w:pPr>
      <w:r>
        <w:rPr/>
        <w:t>składkę przypisaną,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/>
        <w:t>składkę opłaconą,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start="720"/>
        <w:rPr/>
      </w:pPr>
      <w:r>
        <w:rPr/>
        <w:t>zmianę YoY %.</w:t>
      </w:r>
    </w:p>
    <w:p>
      <w:pPr>
        <w:pStyle w:val="normal1"/>
        <w:spacing w:lineRule="auto" w:line="240" w:before="240" w:after="240"/>
        <w:rPr/>
      </w:pPr>
      <w:r>
        <w:rPr/>
        <w:t>Tooltip został wykorzystany m.in. dla wykresu Top 5 grup produktów na stronie Executive Summary.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8" w:name="_ku6vrhtybln"/>
      <w:bookmarkEnd w:id="8"/>
      <w:r>
        <w:rPr>
          <w:b/>
          <w:bCs/>
          <w:sz w:val="34"/>
          <w:szCs w:val="34"/>
        </w:rPr>
        <w:t xml:space="preserve">🧮 </w:t>
      </w:r>
      <w:r>
        <w:rPr>
          <w:b/>
          <w:bCs/>
          <w:sz w:val="34"/>
          <w:szCs w:val="34"/>
        </w:rPr>
        <w:t>Miary DAX</w:t>
      </w:r>
    </w:p>
    <w:p>
      <w:pPr>
        <w:pStyle w:val="normal1"/>
        <w:spacing w:lineRule="auto" w:line="240" w:before="240" w:after="240"/>
        <w:rPr/>
      </w:pPr>
      <w:r>
        <w:rPr/>
        <w:t xml:space="preserve">W raporcie utworzono dedykowaną tabelę </w:t>
      </w:r>
      <w:r>
        <w:rPr>
          <w:rFonts w:eastAsia="Roboto Mono" w:cs="Roboto Mono" w:ascii="Roboto Mono" w:hAnsi="Roboto Mono"/>
          <w:color w:val="188038"/>
        </w:rPr>
        <w:t>_Measures</w:t>
      </w:r>
      <w:r>
        <w:rPr/>
        <w:t>, która przechowuje miary DAX.</w:t>
      </w:r>
    </w:p>
    <w:p>
      <w:pPr>
        <w:pStyle w:val="normal1"/>
        <w:spacing w:lineRule="auto" w:line="240" w:before="240" w:after="240"/>
        <w:rPr/>
      </w:pPr>
      <w:r>
        <w:rPr/>
        <w:t>Najważniejsze miary:</w:t>
      </w:r>
    </w:p>
    <w:p>
      <w:pPr>
        <w:pStyle w:val="normal1"/>
        <w:rPr/>
      </w:pPr>
      <w:r>
        <w:rPr/>
        <w:t>Liczba polis =</w:t>
      </w:r>
    </w:p>
    <w:p>
      <w:pPr>
        <w:pStyle w:val="normal1"/>
        <w:rPr/>
      </w:pPr>
      <w:r>
        <w:rPr/>
        <w:t>DISTINCTCOUNT(Fact_Policies[Policy ID])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Składka przypisana =</w:t>
      </w:r>
    </w:p>
    <w:p>
      <w:pPr>
        <w:pStyle w:val="normal1"/>
        <w:rPr/>
      </w:pPr>
      <w:r>
        <w:rPr/>
        <w:t>SUM(Fact_Policies[</w:t>
      </w:r>
      <w:r>
        <w:rPr/>
        <w:t xml:space="preserve">Gross </w:t>
      </w:r>
      <w:r>
        <w:rPr/>
        <w:t>Written Premium])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Składka opłacona =</w:t>
      </w:r>
    </w:p>
    <w:p>
      <w:pPr>
        <w:pStyle w:val="normal1"/>
        <w:rPr/>
      </w:pPr>
      <w:r>
        <w:rPr/>
        <w:t>CALCULATE(</w:t>
      </w:r>
    </w:p>
    <w:p>
      <w:pPr>
        <w:pStyle w:val="normal1"/>
        <w:rPr/>
      </w:pPr>
      <w:r>
        <w:rPr/>
        <w:t xml:space="preserve">    </w:t>
      </w:r>
      <w:r>
        <w:rPr/>
        <w:t>SUM(Fact_Premium_Payments[Payment Amount]),</w:t>
      </w:r>
    </w:p>
    <w:p>
      <w:pPr>
        <w:pStyle w:val="normal1"/>
        <w:rPr/>
      </w:pPr>
      <w:r>
        <w:rPr/>
        <w:t xml:space="preserve">    </w:t>
      </w:r>
      <w:r>
        <w:rPr/>
        <w:t>Fact_Premium_Payments[Payment Status] = "Paid"</w:t>
      </w:r>
    </w:p>
    <w:p>
      <w:pPr>
        <w:pStyle w:val="normal1"/>
        <w:rPr/>
      </w:pPr>
      <w:r>
        <w:rPr/>
        <w:t>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Prowizja =</w:t>
      </w:r>
    </w:p>
    <w:p>
      <w:pPr>
        <w:pStyle w:val="normal1"/>
        <w:rPr/>
      </w:pPr>
      <w:r>
        <w:rPr/>
        <w:t>SUM(Fact_Policies[Commission Amount])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Śr składka =</w:t>
      </w:r>
    </w:p>
    <w:p>
      <w:pPr>
        <w:pStyle w:val="normal1"/>
        <w:rPr/>
      </w:pPr>
      <w:r>
        <w:rPr/>
        <w:t>DIVIDE(</w:t>
      </w:r>
    </w:p>
    <w:p>
      <w:pPr>
        <w:pStyle w:val="normal1"/>
        <w:rPr/>
      </w:pPr>
      <w:r>
        <w:rPr/>
        <w:t xml:space="preserve">    </w:t>
      </w:r>
      <w:r>
        <w:rPr/>
        <w:t>[Składka przypisana],</w:t>
      </w:r>
    </w:p>
    <w:p>
      <w:pPr>
        <w:pStyle w:val="normal1"/>
        <w:rPr/>
      </w:pPr>
      <w:r>
        <w:rPr/>
        <w:t xml:space="preserve">    </w:t>
      </w:r>
      <w:r>
        <w:rPr/>
        <w:t>[Liczba polis],</w:t>
      </w:r>
    </w:p>
    <w:p>
      <w:pPr>
        <w:pStyle w:val="normal1"/>
        <w:rPr/>
      </w:pPr>
      <w:r>
        <w:rPr/>
        <w:t xml:space="preserve">    </w:t>
      </w:r>
      <w:r>
        <w:rPr/>
        <w:t>0</w:t>
      </w:r>
    </w:p>
    <w:p>
      <w:pPr>
        <w:pStyle w:val="normal1"/>
        <w:rPr/>
      </w:pPr>
      <w:r>
        <w:rPr/>
        <w:t>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Liczba polis YTD =</w:t>
      </w:r>
    </w:p>
    <w:p>
      <w:pPr>
        <w:pStyle w:val="normal1"/>
        <w:rPr/>
      </w:pPr>
      <w:r>
        <w:rPr/>
        <w:t>TOTALYTD(</w:t>
      </w:r>
    </w:p>
    <w:p>
      <w:pPr>
        <w:pStyle w:val="normal1"/>
        <w:rPr/>
      </w:pPr>
      <w:r>
        <w:rPr/>
        <w:t xml:space="preserve">    </w:t>
      </w:r>
      <w:r>
        <w:rPr/>
        <w:t>[Liczba polis],</w:t>
      </w:r>
    </w:p>
    <w:p>
      <w:pPr>
        <w:pStyle w:val="normal1"/>
        <w:rPr/>
      </w:pPr>
      <w:r>
        <w:rPr/>
        <w:t xml:space="preserve">    </w:t>
      </w:r>
      <w:r>
        <w:rPr/>
        <w:t>Dim_Date[Date]</w:t>
      </w:r>
    </w:p>
    <w:p>
      <w:pPr>
        <w:pStyle w:val="normal1"/>
        <w:rPr/>
      </w:pPr>
      <w:r>
        <w:rPr/>
        <w:t>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Składka przypisana LY =</w:t>
      </w:r>
    </w:p>
    <w:p>
      <w:pPr>
        <w:pStyle w:val="normal1"/>
        <w:rPr/>
      </w:pPr>
      <w:r>
        <w:rPr/>
        <w:t>CALCULATE(</w:t>
      </w:r>
    </w:p>
    <w:p>
      <w:pPr>
        <w:pStyle w:val="normal1"/>
        <w:rPr/>
      </w:pPr>
      <w:r>
        <w:rPr/>
        <w:t xml:space="preserve">    </w:t>
      </w:r>
      <w:r>
        <w:rPr/>
        <w:t>[Składka przypisana],</w:t>
      </w:r>
    </w:p>
    <w:p>
      <w:pPr>
        <w:pStyle w:val="normal1"/>
        <w:rPr/>
      </w:pPr>
      <w:r>
        <w:rPr/>
        <w:t xml:space="preserve">    </w:t>
      </w:r>
      <w:r>
        <w:rPr/>
        <w:t>SAMEPERIODLASTYEAR(Dim_Date[Date])</w:t>
      </w:r>
    </w:p>
    <w:p>
      <w:pPr>
        <w:pStyle w:val="normal1"/>
        <w:rPr/>
      </w:pPr>
      <w:r>
        <w:rPr/>
        <w:t>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Składka przypisana YoY % =</w:t>
      </w:r>
    </w:p>
    <w:p>
      <w:pPr>
        <w:pStyle w:val="normal1"/>
        <w:rPr/>
      </w:pPr>
      <w:r>
        <w:rPr/>
        <w:t>DIVIDE(</w:t>
      </w:r>
    </w:p>
    <w:p>
      <w:pPr>
        <w:pStyle w:val="normal1"/>
        <w:rPr/>
      </w:pPr>
      <w:r>
        <w:rPr/>
        <w:t xml:space="preserve">    </w:t>
      </w:r>
      <w:r>
        <w:rPr/>
        <w:t>[Składka przypisana] - [Składka przypisana LY],</w:t>
      </w:r>
    </w:p>
    <w:p>
      <w:pPr>
        <w:pStyle w:val="normal1"/>
        <w:rPr/>
      </w:pPr>
      <w:r>
        <w:rPr/>
        <w:t xml:space="preserve">    </w:t>
      </w:r>
      <w:r>
        <w:rPr/>
        <w:t>[Składka przypisana LY],</w:t>
      </w:r>
    </w:p>
    <w:p>
      <w:pPr>
        <w:pStyle w:val="normal1"/>
        <w:rPr/>
      </w:pPr>
      <w:r>
        <w:rPr/>
        <w:t xml:space="preserve">    </w:t>
      </w:r>
      <w:r>
        <w:rPr/>
        <w:t>0</w:t>
      </w:r>
    </w:p>
    <w:p>
      <w:pPr>
        <w:pStyle w:val="normal1"/>
        <w:rPr/>
      </w:pPr>
      <w:r>
        <w:rPr/>
        <w:t>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Udział w regionie % =</w:t>
      </w:r>
    </w:p>
    <w:p>
      <w:pPr>
        <w:pStyle w:val="normal1"/>
        <w:rPr/>
      </w:pPr>
      <w:r>
        <w:rPr/>
        <w:t>VAR SprzedazBiezaca =</w:t>
      </w:r>
    </w:p>
    <w:p>
      <w:pPr>
        <w:pStyle w:val="normal1"/>
        <w:rPr/>
      </w:pPr>
      <w:r>
        <w:rPr/>
        <w:t xml:space="preserve">    </w:t>
      </w:r>
      <w:r>
        <w:rPr/>
        <w:t>[Składka przypisana]</w:t>
      </w:r>
    </w:p>
    <w:p>
      <w:pPr>
        <w:pStyle w:val="normal1"/>
        <w:rPr/>
      </w:pPr>
      <w:r>
        <w:rPr/>
        <w:t>VAR SprzedazRegionu =</w:t>
      </w:r>
    </w:p>
    <w:p>
      <w:pPr>
        <w:pStyle w:val="normal1"/>
        <w:rPr/>
      </w:pPr>
      <w:r>
        <w:rPr/>
        <w:t xml:space="preserve">    </w:t>
      </w:r>
      <w:r>
        <w:rPr/>
        <w:t>CALCULATE(</w:t>
      </w:r>
    </w:p>
    <w:p>
      <w:pPr>
        <w:pStyle w:val="normal1"/>
        <w:rPr/>
      </w:pPr>
      <w:r>
        <w:rPr/>
        <w:t xml:space="preserve">        </w:t>
      </w:r>
      <w:r>
        <w:rPr/>
        <w:t>[Składka przypisana],</w:t>
      </w:r>
    </w:p>
    <w:p>
      <w:pPr>
        <w:pStyle w:val="normal1"/>
        <w:rPr/>
      </w:pPr>
      <w:r>
        <w:rPr/>
        <w:t xml:space="preserve">        </w:t>
      </w:r>
      <w:r>
        <w:rPr/>
        <w:t>REMOVEFILTERS(Dim_Branches[Voivodeship]),</w:t>
      </w:r>
    </w:p>
    <w:p>
      <w:pPr>
        <w:pStyle w:val="normal1"/>
        <w:rPr/>
      </w:pPr>
      <w:r>
        <w:rPr/>
        <w:t xml:space="preserve">        </w:t>
      </w:r>
      <w:r>
        <w:rPr/>
        <w:t>REMOVEFILTERS(Dim_Branches[Branch Name]),</w:t>
      </w:r>
    </w:p>
    <w:p>
      <w:pPr>
        <w:pStyle w:val="normal1"/>
        <w:rPr/>
      </w:pPr>
      <w:r>
        <w:rPr/>
        <w:t xml:space="preserve">        </w:t>
      </w:r>
      <w:r>
        <w:rPr/>
        <w:t>REMOVEFILTERS(Dim_Agents[Agent Name])</w:t>
      </w:r>
    </w:p>
    <w:p>
      <w:pPr>
        <w:pStyle w:val="normal1"/>
        <w:rPr/>
      </w:pPr>
      <w:r>
        <w:rPr/>
        <w:t xml:space="preserve">    </w:t>
      </w:r>
      <w:r>
        <w:rPr/>
        <w:t>)</w:t>
      </w:r>
    </w:p>
    <w:p>
      <w:pPr>
        <w:pStyle w:val="normal1"/>
        <w:rPr/>
      </w:pPr>
      <w:r>
        <w:rPr/>
        <w:t>RETURN</w:t>
      </w:r>
    </w:p>
    <w:p>
      <w:pPr>
        <w:pStyle w:val="normal1"/>
        <w:rPr/>
      </w:pPr>
      <w:r>
        <w:rPr/>
        <w:t xml:space="preserve">    </w:t>
      </w:r>
      <w:r>
        <w:rPr/>
        <w:t>DIVIDE(</w:t>
      </w:r>
    </w:p>
    <w:p>
      <w:pPr>
        <w:pStyle w:val="normal1"/>
        <w:rPr/>
      </w:pPr>
      <w:r>
        <w:rPr/>
        <w:t xml:space="preserve">        </w:t>
      </w:r>
      <w:r>
        <w:rPr/>
        <w:t>SprzedazBiezaca,</w:t>
      </w:r>
    </w:p>
    <w:p>
      <w:pPr>
        <w:pStyle w:val="normal1"/>
        <w:rPr/>
      </w:pPr>
      <w:r>
        <w:rPr/>
        <w:t xml:space="preserve">        </w:t>
      </w:r>
      <w:r>
        <w:rPr/>
        <w:t>SprzedazRegionu,</w:t>
      </w:r>
    </w:p>
    <w:p>
      <w:pPr>
        <w:pStyle w:val="normal1"/>
        <w:rPr/>
      </w:pPr>
      <w:r>
        <w:rPr/>
        <w:t xml:space="preserve">        </w:t>
      </w:r>
      <w:r>
        <w:rPr/>
        <w:t>0</w:t>
      </w:r>
    </w:p>
    <w:p>
      <w:pPr>
        <w:pStyle w:val="normal1"/>
        <w:rPr/>
      </w:pPr>
      <w:r>
        <w:rPr/>
        <w:t xml:space="preserve">    </w:t>
      </w:r>
      <w:r>
        <w:rPr/>
        <w:t>)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W projekcie wykorzystano m.in. funkcje DAX: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CALCULATE()</w:t>
      </w:r>
      <w:r>
        <w:rPr/>
        <w:t xml:space="preserve"> — zmiana kontekstu filtrowania,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DIVIDE()</w:t>
      </w:r>
      <w:r>
        <w:rPr/>
        <w:t xml:space="preserve"> — bezpieczne dzielenie,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TOTALYTD()</w:t>
      </w:r>
      <w:r>
        <w:rPr/>
        <w:t xml:space="preserve"> — obliczenia narastająco od początku roku,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SAMEPERIODLASTYEAR()</w:t>
      </w:r>
      <w:r>
        <w:rPr/>
        <w:t xml:space="preserve"> — porównanie do poprzedniego roku,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REMOVEFILTERS()</w:t>
      </w:r>
      <w:r>
        <w:rPr/>
        <w:t xml:space="preserve"> — usuwanie wybranych filtrów z kontekstu,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VAR</w:t>
      </w:r>
      <w:r>
        <w:rPr/>
        <w:t xml:space="preserve"> / </w:t>
      </w:r>
      <w:r>
        <w:rPr>
          <w:rFonts w:eastAsia="Roboto Mono" w:cs="Roboto Mono" w:ascii="Roboto Mono" w:hAnsi="Roboto Mono"/>
          <w:color w:val="188038"/>
        </w:rPr>
        <w:t>RETURN</w:t>
      </w:r>
      <w:r>
        <w:rPr/>
        <w:t xml:space="preserve"> — tworzenie bardziej czytelnych miar,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DISTINCTCOUNT()</w:t>
      </w:r>
      <w:r>
        <w:rPr/>
        <w:t xml:space="preserve"> — liczenie unikalnych polis,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ISBLANK()</w:t>
      </w:r>
      <w:r>
        <w:rPr/>
        <w:t xml:space="preserve"> — obsługa pustych wartości.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9" w:name="_s5bbn7cor8fu"/>
      <w:bookmarkEnd w:id="9"/>
      <w:r>
        <w:rPr>
          <w:b/>
          <w:bCs/>
          <w:sz w:val="34"/>
          <w:szCs w:val="34"/>
        </w:rPr>
        <w:t xml:space="preserve">🛠️ </w:t>
      </w:r>
      <w:r>
        <w:rPr>
          <w:b/>
          <w:bCs/>
          <w:sz w:val="34"/>
          <w:szCs w:val="34"/>
        </w:rPr>
        <w:t>Funkcjonalności Power BI użyte w projekcie</w:t>
      </w:r>
    </w:p>
    <w:p>
      <w:pPr>
        <w:pStyle w:val="normal1"/>
        <w:spacing w:lineRule="auto" w:line="240" w:before="240" w:after="240"/>
        <w:rPr/>
      </w:pPr>
      <w:r>
        <w:rPr/>
        <w:t>W raporcie wykorzystano: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start="720"/>
        <w:rPr/>
      </w:pPr>
      <w:r>
        <w:rPr/>
        <w:t>model danych typu star schema,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relacje jeden-do-wielu między wymiarami i faktami,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dedykowaną tabelę miar </w:t>
      </w:r>
      <w:r>
        <w:rPr>
          <w:rFonts w:eastAsia="Roboto Mono" w:cs="Roboto Mono" w:ascii="Roboto Mono" w:hAnsi="Roboto Mono"/>
          <w:color w:val="188038"/>
        </w:rPr>
        <w:t>_Measures</w:t>
      </w:r>
      <w:r>
        <w:rPr/>
        <w:t>,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miary DAX z time intelligence,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formatowanie warunkowe w matrixie,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tooltip jako osobną ukrytą stronę raportu,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bookmark do przycisku </w:t>
      </w:r>
      <w:r>
        <w:rPr>
          <w:rFonts w:eastAsia="Roboto Mono" w:cs="Roboto Mono" w:ascii="Roboto Mono" w:hAnsi="Roboto Mono"/>
          <w:color w:val="188038"/>
        </w:rPr>
        <w:t>Wyczyść filtry</w:t>
      </w:r>
      <w:r>
        <w:rPr/>
        <w:t>,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slicery po lewej stronie raportu,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Top N filtering,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hierarchię w matrixie,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start="720"/>
        <w:rPr/>
      </w:pPr>
      <w:r>
        <w:rPr/>
        <w:t>niestandardowe logo i prosty branding raportu.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Arial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Roboto Mono">
    <w:charset w:val="ee" w:characterSet="windows-1250"/>
    <w:family w:val="roman"/>
    <w:pitch w:val="variable"/>
    <w:embedRegular r:id="rId1" w:fontKey="{01014A78-CABC-4EF0-12AC-5CD89AEFDE01}"/>
  </w:font>
  <w:font w:name="Wingdings">
    <w:charset w:val="02"/>
    <w:family w:val="auto"/>
    <w:pitch w:val="default"/>
    <w:embedRegular r:id="rId2" w:fontKey="{02014A78-CABC-4EF0-12AC-5CD89AEFDE02}"/>
    <w:embedBold r:id="rId3" w:fontKey="{03014A78-CABC-4EF0-12AC-5CD89AEFDE03}"/>
  </w:font>
  <w:font w:name="Wingdings 2">
    <w:charset w:val="02"/>
    <w:family w:val="auto"/>
    <w:pitch w:val="default"/>
    <w:embedRegular r:id="rId4" w:fontKey="{04014A78-CABC-4EF0-12AC-5CD89AEFDE04}"/>
    <w:embedBold r:id="rId5" w:fontKey="{05014A78-CABC-4EF0-12AC-5CD89AEFDE05}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LibreOffice/26.2.3.2$Windows_X86_64 LibreOffice_project/70e089b17412e4cb7773e41413306b17a2328c34</Application>
  <AppVersion>15.0000</AppVersion>
  <Pages>6</Pages>
  <Words>665</Words>
  <Characters>4238</Characters>
  <CharactersWithSpaces>4797</CharactersWithSpaces>
  <Paragraphs>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pl-PL</dc:language>
  <cp:lastModifiedBy/>
  <dcterms:modified xsi:type="dcterms:W3CDTF">2026-06-14T18:26:00Z</dcterms:modified>
  <cp:revision>1</cp:revision>
  <dc:subject/>
  <dc:title/>
</cp:coreProperties>
</file>