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CA91E">
      <w:pPr>
        <w:pStyle w:val="2"/>
        <w:rPr>
          <w:rFonts w:hint="eastAsia"/>
        </w:rPr>
      </w:pPr>
      <w:r>
        <w:rPr>
          <w:rFonts w:hint="eastAsia"/>
        </w:rPr>
        <w:t xml:space="preserve"> 方法</w:t>
      </w:r>
    </w:p>
    <w:p w14:paraId="690F7099">
      <w:pPr>
        <w:pStyle w:val="3"/>
        <w:rPr>
          <w:rFonts w:hint="eastAsia"/>
        </w:rPr>
      </w:pPr>
      <w:r>
        <w:rPr>
          <w:rFonts w:hint="eastAsia"/>
        </w:rPr>
        <w:t>1 符号约定</w:t>
      </w:r>
    </w:p>
    <w:p w14:paraId="7BF8B549">
      <w:pPr>
        <w:pStyle w:val="6"/>
        <w:rPr>
          <w:rFonts w:hint="eastAsia"/>
        </w:rPr>
      </w:pPr>
      <w:r>
        <w:t>给定第</w:t>
      </w:r>
      <m:oMath>
        <m:r>
          <m:rPr/>
          <w:rPr>
            <w:rFonts w:ascii="Cambria Math"/>
          </w:rPr>
          <m:t xml:space="preserve"> i </m:t>
        </m:r>
      </m:oMath>
      <w:r>
        <w:t xml:space="preserve">个细胞的基因表达谱 </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p>
          <m:sSupPr>
            <m:ctrlPr>
              <w:rPr>
                <w:rFonts w:ascii="Cambria Math" w:hAnsi="Cambria Math"/>
              </w:rPr>
            </m:ctrlPr>
          </m:sSupPr>
          <m:e>
            <m:r>
              <m:rPr>
                <m:scr m:val="double-struck"/>
              </m:rPr>
              <w:rPr>
                <w:rFonts w:ascii="Cambria Math"/>
              </w:rPr>
              <m:t>ℝ</m:t>
            </m:r>
            <m:ctrlPr>
              <w:rPr>
                <w:rFonts w:ascii="Cambria Math" w:hAnsi="Cambria Math"/>
              </w:rPr>
            </m:ctrlPr>
          </m:e>
          <m:sup>
            <m:r>
              <m:rPr/>
              <w:rPr>
                <w:rFonts w:ascii="Cambria Math"/>
              </w:rPr>
              <m:t>G</m:t>
            </m:r>
            <m:ctrlPr>
              <w:rPr>
                <w:rFonts w:ascii="Cambria Math" w:hAnsi="Cambria Math"/>
              </w:rPr>
            </m:ctrlPr>
          </m:sup>
        </m:sSup>
      </m:oMath>
      <w:r>
        <w:t>，</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oMath>
      <w:r>
        <w:rPr>
          <w:rFonts w:hint="eastAsia" w:hAnsi="Cambria Math"/>
        </w:rPr>
        <w:t>是</w:t>
      </w:r>
      <w:r>
        <w:rPr>
          <w:rFonts w:hint="eastAsia"/>
        </w:rPr>
        <w:t>G个选定基因上的归一化基因表达向量</w:t>
      </w:r>
      <w:r>
        <w:t>。令K表示</w:t>
      </w:r>
      <w:r>
        <w:rPr>
          <w:rFonts w:hint="eastAsia"/>
        </w:rPr>
        <w:t>sgRNA</w:t>
      </w:r>
      <w:r>
        <w:t>数量，</w:t>
      </w:r>
      <m:oMath>
        <m:sSub>
          <m:sSubPr>
            <m:ctrlPr>
              <w:rPr>
                <w:rFonts w:ascii="Cambria Math" w:hAnsi="Cambria Math"/>
              </w:rPr>
            </m:ctrlPr>
          </m:sSubPr>
          <m:e>
            <m:r>
              <m:rPr/>
              <w:rPr>
                <w:rFonts w:ascii="Cambria Math"/>
              </w:rPr>
              <m:t>g</m:t>
            </m:r>
            <m:ctrlPr>
              <w:rPr>
                <w:rFonts w:ascii="Cambria Math" w:hAnsi="Cambria Math"/>
              </w:rPr>
            </m:ctrlPr>
          </m:e>
          <m:sub>
            <m:r>
              <m:rPr/>
              <w:rPr>
                <w:rFonts w:ascii="Cambria Math"/>
              </w:rPr>
              <m:t>i</m:t>
            </m:r>
            <m:ctrlPr>
              <w:rPr>
                <w:rFonts w:ascii="Cambria Math" w:hAnsi="Cambria Math"/>
              </w:rPr>
            </m:ctrlPr>
          </m:sub>
        </m:sSub>
        <m:r>
          <m:rPr/>
          <w:rPr>
            <w:rFonts w:ascii="Cambria Math"/>
          </w:rPr>
          <m:t>∈{0,1,…,K}</m:t>
        </m:r>
      </m:oMath>
      <w:r>
        <w:rPr>
          <w:rFonts w:hint="eastAsia"/>
        </w:rPr>
        <w:t>为对应编号</w:t>
      </w:r>
      <w:r>
        <w:t>，其中</w:t>
      </w:r>
      <m:oMath>
        <m:sSub>
          <m:sSubPr>
            <m:ctrlPr>
              <w:rPr>
                <w:rFonts w:ascii="Cambria Math" w:hAnsi="Cambria Math"/>
              </w:rPr>
            </m:ctrlPr>
          </m:sSubPr>
          <m:e>
            <m:r>
              <m:rPr/>
              <w:rPr>
                <w:rFonts w:ascii="Cambria Math"/>
              </w:rPr>
              <m:t>g</m:t>
            </m:r>
            <m:ctrlPr>
              <w:rPr>
                <w:rFonts w:ascii="Cambria Math" w:hAnsi="Cambria Math"/>
              </w:rPr>
            </m:ctrlPr>
          </m:e>
          <m:sub>
            <m:r>
              <m:rPr/>
              <w:rPr>
                <w:rFonts w:ascii="Cambria Math"/>
              </w:rPr>
              <m:t>i</m:t>
            </m:r>
            <m:ctrlPr>
              <w:rPr>
                <w:rFonts w:ascii="Cambria Math" w:hAnsi="Cambria Math"/>
              </w:rPr>
            </m:ctrlPr>
          </m:sub>
        </m:sSub>
        <m:r>
          <m:rPr/>
          <w:rPr>
            <w:rFonts w:ascii="Cambria Math"/>
          </w:rPr>
          <m:t>=0</m:t>
        </m:r>
      </m:oMath>
      <w:r>
        <w:rPr>
          <w:rFonts w:hint="eastAsia"/>
        </w:rPr>
        <w:t>编号</w:t>
      </w:r>
      <w:r>
        <w:t>对照细胞。模型的潜空间维度记为</w:t>
      </w:r>
      <m:oMath>
        <m:r>
          <m:rPr/>
          <w:rPr>
            <w:rFonts w:ascii="Cambria Math"/>
          </w:rPr>
          <m:t xml:space="preserve"> d </m:t>
        </m:r>
      </m:oMath>
      <w:r>
        <w:t>。</w:t>
      </w:r>
    </w:p>
    <w:p w14:paraId="31A8240B">
      <w:pPr>
        <w:pStyle w:val="6"/>
        <w:rPr>
          <w:rFonts w:hint="eastAsia"/>
        </w:rPr>
      </w:pPr>
      <w:r>
        <w:t>语义编码器记为</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ϕ</m:t>
            </m:r>
            <m:ctrlPr>
              <w:rPr>
                <w:rFonts w:ascii="Cambria Math" w:hAnsi="Cambria Math"/>
              </w:rPr>
            </m:ctrlPr>
          </m:sub>
        </m:sSub>
      </m:oMath>
      <w:r>
        <w:t>，</w:t>
      </w:r>
      <w:r>
        <w:rPr>
          <w:rFonts w:hint="eastAsia"/>
        </w:rPr>
        <w:t>条件</w:t>
      </w:r>
      <w:r>
        <w:t>扩散去噪</w:t>
      </w:r>
      <w:r>
        <w:rPr>
          <w:rFonts w:hint="eastAsia"/>
        </w:rPr>
        <w:t>器记为</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θ</m:t>
            </m:r>
            <m:ctrlPr>
              <w:rPr>
                <w:rFonts w:ascii="Cambria Math" w:hAnsi="Cambria Math"/>
              </w:rPr>
            </m:ctrlPr>
          </m:sub>
        </m:sSub>
      </m:oMath>
      <w:r>
        <w:t>。</w:t>
      </w:r>
    </w:p>
    <w:p w14:paraId="55609DF8">
      <w:pPr>
        <w:pStyle w:val="3"/>
        <w:rPr>
          <w:rFonts w:hint="eastAsia"/>
        </w:rPr>
      </w:pPr>
      <w:r>
        <w:rPr>
          <w:rFonts w:hint="eastAsia"/>
        </w:rPr>
        <w:t>2 模型架构</w:t>
      </w:r>
    </w:p>
    <w:p w14:paraId="7699042A">
      <w:pPr>
        <w:pStyle w:val="6"/>
        <w:rPr>
          <w:rFonts w:hint="eastAsia"/>
        </w:rPr>
      </w:pPr>
      <w:r>
        <w:rPr>
          <w:rFonts w:hint="eastAsia"/>
        </w:rPr>
        <w:t>我们提出了一个生成式深度学习框架，用于预测CRISPRi筛选中的不同的扰动效率下的转录组。模型采用扩散自编码器架构，由三部分组成：语义编码器、扰动嵌入和条件扩散去噪网络。语义编码器将高维基因表达数据压缩为低维语义向量。可学习的扰动嵌入向量是潜空间中由对照组细胞指向扰动组细胞的向量，由语义对齐损失约束。语义向量作为条件扩散模型的输入。</w:t>
      </w:r>
    </w:p>
    <w:p w14:paraId="6741ADA0">
      <w:pPr>
        <w:pStyle w:val="4"/>
        <w:rPr>
          <w:rFonts w:hint="eastAsia"/>
        </w:rPr>
      </w:pPr>
      <w:r>
        <w:rPr>
          <w:rFonts w:hint="eastAsia"/>
        </w:rPr>
        <w:t>2.1 语义编码器</w:t>
      </w:r>
    </w:p>
    <w:p w14:paraId="5DAEC264">
      <w:pPr>
        <w:pStyle w:val="6"/>
        <w:rPr>
          <w:rFonts w:hint="eastAsia"/>
        </w:rPr>
      </w:pPr>
      <w:r>
        <w:rPr>
          <w:rFonts w:hint="eastAsia"/>
        </w:rPr>
        <w:t xml:space="preserve">语义编码器 </w:t>
      </w:r>
      <w:r>
        <w:rPr>
          <w:rStyle w:val="11"/>
          <w:rFonts w:hint="eastAsia"/>
        </w:rPr>
        <w:t>E</w:t>
      </w:r>
      <w:r>
        <w:rPr>
          <w:rFonts w:hint="eastAsia"/>
          <w:vertAlign w:val="subscript"/>
        </w:rPr>
        <w:t>φ</w:t>
      </w:r>
      <w:r>
        <w:rPr>
          <w:rFonts w:hint="eastAsia"/>
        </w:rPr>
        <w:t xml:space="preserve"> 将输入的细胞基因表达谱映射为一个低维语义向量：</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5"/>
        <w:gridCol w:w="4513"/>
        <w:gridCol w:w="1918"/>
      </w:tblGrid>
      <w:tr w14:paraId="0D978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5" w:type="dxa"/>
          </w:tcPr>
          <w:p w14:paraId="14646C6B">
            <w:pPr>
              <w:pStyle w:val="6"/>
              <w:ind w:firstLine="0"/>
              <w:rPr>
                <w:rFonts w:hint="eastAsia"/>
              </w:rPr>
            </w:pPr>
          </w:p>
        </w:tc>
        <w:tc>
          <w:tcPr>
            <w:tcW w:w="4513" w:type="dxa"/>
          </w:tcPr>
          <w:p w14:paraId="6B955ADB">
            <w:pPr>
              <w:pStyle w:val="6"/>
              <w:ind w:firstLine="0"/>
              <w:jc w:val="center"/>
              <w:rPr>
                <w:rFonts w:hAnsi="Cambria Math"/>
              </w:rPr>
            </w:pPr>
            <m:oMathPara>
              <m:oMath>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ϕ</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i,0</m:t>
                    </m:r>
                    <m:ctrlPr>
                      <w:rPr>
                        <w:rFonts w:ascii="Cambria Math" w:hAnsi="Cambria Math"/>
                      </w:rPr>
                    </m:ctrlPr>
                  </m:sub>
                </m:sSub>
                <m:r>
                  <m:rPr/>
                  <w:rPr>
                    <w:rFonts w:ascii="Cambria Math" w:hAnsi="Cambria Math"/>
                  </w:rPr>
                  <m:t>), </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m:t>
                </m:r>
              </m:oMath>
            </m:oMathPara>
          </w:p>
        </w:tc>
        <w:tc>
          <w:tcPr>
            <w:tcW w:w="1918" w:type="dxa"/>
          </w:tcPr>
          <w:p w14:paraId="748E2E6A">
            <w:pPr>
              <w:pStyle w:val="6"/>
              <w:ind w:firstLine="0"/>
              <w:jc w:val="right"/>
              <w:rPr>
                <w:rFonts w:hint="eastAsia"/>
              </w:rPr>
            </w:pPr>
            <w:r>
              <w:rPr>
                <w:rStyle w:val="19"/>
                <w:rFonts w:hint="eastAsia"/>
              </w:rPr>
              <w:t>(1)</w:t>
            </w:r>
          </w:p>
        </w:tc>
      </w:tr>
    </w:tbl>
    <w:p w14:paraId="083DF8BC">
      <w:pPr>
        <w:pStyle w:val="6"/>
        <w:ind w:firstLine="420"/>
        <w:rPr>
          <w:rFonts w:hint="eastAsia"/>
        </w:rPr>
      </w:pPr>
      <w:r>
        <w:rPr>
          <w:rFonts w:hint="eastAsia"/>
        </w:rPr>
        <w:t xml:space="preserve">该编码器实现为一个三层感知机，包含批次归一化和ReLU激活函数。生成的语义向量 </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oMath>
      <w:r>
        <w:rPr>
          <w:rFonts w:hint="eastAsia"/>
        </w:rPr>
        <w:t xml:space="preserve"> 作为后续扰动建模的基础和条件生成部分的输入。</w:t>
      </w:r>
    </w:p>
    <w:p w14:paraId="0E0BACE3">
      <w:pPr>
        <w:pStyle w:val="4"/>
        <w:shd w:val="clear" w:color="auto" w:fill="FFFFFF"/>
        <w:spacing w:before="210" w:after="160" w:line="12" w:lineRule="atLeast"/>
        <w:rPr>
          <w:rFonts w:hint="eastAsia"/>
        </w:rPr>
      </w:pPr>
      <w:r>
        <w:rPr>
          <w:rFonts w:hint="eastAsia"/>
        </w:rPr>
        <w:t>2.2 sgRNA扰动条件嵌入</w:t>
      </w:r>
    </w:p>
    <w:p w14:paraId="70F43E6E">
      <w:pPr>
        <w:pStyle w:val="6"/>
        <w:rPr>
          <w:rFonts w:hint="eastAsia"/>
        </w:rPr>
      </w:pPr>
      <w:r>
        <w:rPr>
          <w:rFonts w:hint="eastAsia"/>
        </w:rPr>
        <w:t>扰动条件嵌入用于表示不同的靶向基因，在潜空间中和语义向量保持同一维度，从而可以直接相加/相减。每个非对照条件</w:t>
      </w:r>
      <m:oMath>
        <m:r>
          <m:rPr/>
          <w:rPr>
            <w:rFonts w:ascii="Cambria Math"/>
          </w:rPr>
          <m:t xml:space="preserve"> p∈{1,…,K}</m:t>
        </m:r>
      </m:oMath>
      <w:r>
        <w:rPr>
          <w:rFonts w:hint="eastAsia"/>
        </w:rPr>
        <w:t>，对应一个潜空间扰动向量：</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8"/>
        <w:gridCol w:w="5367"/>
        <w:gridCol w:w="1351"/>
      </w:tblGrid>
      <w:tr w14:paraId="23BB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8" w:type="dxa"/>
          </w:tcPr>
          <w:p w14:paraId="650BE41D">
            <w:pPr>
              <w:pStyle w:val="6"/>
              <w:ind w:firstLine="0"/>
              <w:rPr>
                <w:rFonts w:hint="eastAsia"/>
              </w:rPr>
            </w:pPr>
          </w:p>
        </w:tc>
        <w:tc>
          <w:tcPr>
            <w:tcW w:w="5367" w:type="dxa"/>
          </w:tcPr>
          <w:p w14:paraId="67424755">
            <w:pPr>
              <w:pStyle w:val="6"/>
              <w:ind w:firstLine="0"/>
              <w:jc w:val="center"/>
              <w:rPr>
                <w:rFonts w:hint="eastAsia"/>
              </w:rPr>
            </w:pPr>
            <m:oMath>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p</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W</m:t>
                  </m:r>
                  <m:ctrlPr>
                    <w:rPr>
                      <w:rFonts w:ascii="Cambria Math" w:hAnsi="Cambria Math"/>
                    </w:rPr>
                  </m:ctrlPr>
                </m:e>
                <m:sub>
                  <m:r>
                    <m:rPr/>
                    <w:rPr>
                      <w:rFonts w:ascii="Cambria Math"/>
                    </w:rPr>
                    <m:t>pert</m:t>
                  </m:r>
                  <m:ctrlPr>
                    <w:rPr>
                      <w:rFonts w:ascii="Cambria Math" w:hAnsi="Cambria Math"/>
                    </w:rPr>
                  </m:ctrlPr>
                </m:sub>
              </m:sSub>
              <m:r>
                <m:rPr/>
                <w:rPr>
                  <w:rFonts w:ascii="Cambria Math"/>
                </w:rPr>
                <m:t>[p], </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0</m:t>
                  </m:r>
                  <m:ctrlPr>
                    <w:rPr>
                      <w:rFonts w:ascii="Cambria Math" w:hAnsi="Cambria Math"/>
                    </w:rPr>
                  </m:ctrlPr>
                </m:sub>
              </m:sSub>
              <m:r>
                <m:rPr/>
                <w:rPr>
                  <w:rFonts w:ascii="Cambria Math"/>
                </w:rPr>
                <m:t>=</m:t>
              </m:r>
              <m:r>
                <m:rPr>
                  <m:sty m:val="b"/>
                </m:rPr>
                <w:rPr>
                  <w:rFonts w:ascii="Cambria Math"/>
                </w:rPr>
                <m:t>0</m:t>
              </m:r>
            </m:oMath>
            <w:r>
              <w:rPr>
                <w:rFonts w:hint="eastAsia"/>
                <w:b/>
              </w:rPr>
              <w:t>.</w:t>
            </w:r>
          </w:p>
        </w:tc>
        <w:tc>
          <w:tcPr>
            <w:tcW w:w="1351" w:type="dxa"/>
          </w:tcPr>
          <w:p w14:paraId="3CEB2370">
            <w:pPr>
              <w:pStyle w:val="6"/>
              <w:ind w:firstLine="0"/>
              <w:jc w:val="right"/>
              <w:rPr>
                <w:rFonts w:hint="eastAsia"/>
              </w:rPr>
            </w:pPr>
            <w:r>
              <w:rPr>
                <w:rStyle w:val="19"/>
                <w:rFonts w:hint="eastAsia"/>
              </w:rPr>
              <w:t>(2)</w:t>
            </w:r>
          </w:p>
        </w:tc>
      </w:tr>
    </w:tbl>
    <w:p w14:paraId="00C79C80">
      <w:pPr>
        <w:pStyle w:val="6"/>
        <w:rPr>
          <w:rFonts w:hint="eastAsia"/>
        </w:rPr>
      </w:pPr>
      <w:r>
        <w:rPr>
          <w:rFonts w:hint="eastAsia"/>
        </w:rPr>
        <w:t>其中</w:t>
      </w:r>
      <m:oMath>
        <m:sSub>
          <m:sSubPr>
            <m:ctrlPr>
              <w:rPr>
                <w:rFonts w:ascii="Cambria Math" w:hAnsi="Cambria Math"/>
              </w:rPr>
            </m:ctrlPr>
          </m:sSubPr>
          <m:e>
            <m:r>
              <m:rPr/>
              <w:rPr>
                <w:rFonts w:ascii="Cambria Math"/>
              </w:rPr>
              <m:t xml:space="preserve"> W</m:t>
            </m:r>
            <m:ctrlPr>
              <w:rPr>
                <w:rFonts w:ascii="Cambria Math" w:hAnsi="Cambria Math"/>
              </w:rPr>
            </m:ctrlPr>
          </m:e>
          <m:sub>
            <m:r>
              <m:rPr/>
              <w:rPr>
                <w:rFonts w:ascii="Cambria Math"/>
              </w:rPr>
              <m:t>pert</m:t>
            </m:r>
            <m:ctrlPr>
              <w:rPr>
                <w:rFonts w:ascii="Cambria Math" w:hAnsi="Cambria Math"/>
              </w:rPr>
            </m:ctrlPr>
          </m:sub>
        </m:sSub>
      </m:oMath>
      <w:r>
        <w:rPr>
          <w:rFonts w:hint="eastAsia"/>
        </w:rPr>
        <w:t>为可学习的嵌入；对照sgRNA的嵌入向量固定为零向量。</w:t>
      </w:r>
    </w:p>
    <w:p w14:paraId="62CD3C39">
      <w:pPr>
        <w:ind w:firstLine="480" w:firstLineChars="200"/>
        <w:rPr>
          <w:rFonts w:hint="eastAsia"/>
        </w:rPr>
      </w:pPr>
      <w:r>
        <w:rPr>
          <w:rFonts w:hint="eastAsia"/>
        </w:rPr>
        <w:t xml:space="preserve">对于观测到的训练细胞，条件潜变量直接使用其语义向量 </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rPr>
              <m:t>cond</m:t>
            </m:r>
            <m:ctrlPr>
              <w:rPr>
                <w:rFonts w:ascii="Cambria Math" w:hAnsi="Cambria Math"/>
              </w:rPr>
            </m:ctrlPr>
          </m:sup>
        </m:sSubSup>
        <m:r>
          <m:rPr/>
          <w:rPr>
            <w:rFonts w:ascii="Cambria Math"/>
          </w:rPr>
          <m:t>=</m:t>
        </m:r>
        <m:sSub>
          <m:sSubPr>
            <m:ctrlPr>
              <w:rPr>
                <w:rFonts w:ascii="Cambria Math" w:hAnsi="Cambria Math"/>
              </w:rPr>
            </m:ctrlPr>
          </m:sSub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Sub>
      </m:oMath>
      <w:r>
        <w:rPr>
          <w:rFonts w:hint="eastAsia"/>
        </w:rPr>
        <w:t xml:space="preserve">；推理时，对原细胞 </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hAnsi="Cambria Math"/>
              </w:rPr>
              <m:t>sr</m:t>
            </m:r>
            <m:r>
              <m:rPr/>
              <w:rPr>
                <w:rFonts w:ascii="Cambria Math"/>
              </w:rPr>
              <m:t>c</m:t>
            </m:r>
            <m:ctrlPr>
              <w:rPr>
                <w:rFonts w:ascii="Cambria Math" w:hAnsi="Cambria Math"/>
              </w:rPr>
            </m:ctrlPr>
          </m:sub>
        </m:sSub>
      </m:oMath>
      <w:r>
        <w:rPr>
          <w:rFonts w:hint="eastAsia"/>
        </w:rPr>
        <w:t>，通过“移除源扰动、加入目标扰动”构造预测条件</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8"/>
        <w:gridCol w:w="5367"/>
        <w:gridCol w:w="1351"/>
      </w:tblGrid>
      <w:tr w14:paraId="77261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8" w:type="dxa"/>
          </w:tcPr>
          <w:p w14:paraId="6AE1A8D1">
            <w:pPr>
              <w:pStyle w:val="6"/>
              <w:ind w:firstLine="0"/>
              <w:rPr>
                <w:rFonts w:hint="eastAsia"/>
              </w:rPr>
            </w:pPr>
          </w:p>
        </w:tc>
        <w:tc>
          <w:tcPr>
            <w:tcW w:w="5367" w:type="dxa"/>
          </w:tcPr>
          <w:p w14:paraId="5EAD175B">
            <w:pPr>
              <w:pStyle w:val="6"/>
              <w:ind w:firstLine="0"/>
              <w:jc w:val="center"/>
              <w:rPr>
                <w:rFonts w:hint="eastAsia"/>
              </w:rPr>
            </w:pPr>
            <m:oMathPara>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basal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ϕ</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src</m:t>
                    </m:r>
                    <m:ctrlPr>
                      <w:rPr>
                        <w:rFonts w:ascii="Cambria Math" w:hAnsi="Cambria Math"/>
                      </w:rPr>
                    </m:ctrlPr>
                  </m:sub>
                </m:sSub>
                <m:r>
                  <m:rPr/>
                  <w:rPr>
                    <w:rFonts w:ascii="Cambria Math" w:hAnsi="Cambria Math"/>
                  </w:rPr>
                  <m:t>)−</m:t>
                </m:r>
                <m:sSub>
                  <m:sSubPr>
                    <m:ctrlPr>
                      <w:rPr>
                        <w:rFonts w:ascii="Cambria Math" w:hAnsi="Cambria Math"/>
                      </w:rPr>
                    </m:ctrlPr>
                  </m:sSubPr>
                  <m:e>
                    <m:r>
                      <m:rPr>
                        <m:sty m:val="bi"/>
                      </m:rPr>
                      <w:rPr>
                        <w:rFonts w:ascii="Cambria Math" w:hAnsi="Cambria Math"/>
                      </w:rPr>
                      <m:t>δ</m:t>
                    </m:r>
                    <m:ctrlPr>
                      <w:rPr>
                        <w:rFonts w:ascii="Cambria Math" w:hAnsi="Cambria Math"/>
                      </w:rPr>
                    </m:ctrlPr>
                  </m:e>
                  <m: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src</m:t>
                        </m:r>
                        <m:ctrlPr>
                          <w:rPr>
                            <w:rFonts w:ascii="Cambria Math" w:hAnsi="Cambria Math"/>
                          </w:rPr>
                        </m:ctrlPr>
                      </m:sub>
                    </m:sSub>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rPr>
                      <m:t>cond</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basal</m:t>
                    </m:r>
                    <m:ctrlPr>
                      <w:rPr>
                        <w:rFonts w:ascii="Cambria Math" w:hAnsi="Cambria Math"/>
                      </w:rPr>
                    </m:ctrlPr>
                  </m:sub>
                </m:sSub>
                <m:r>
                  <m:rPr/>
                  <w:rPr>
                    <w:rFonts w:ascii="Cambria Math" w:hAnsi="Cambria Math"/>
                  </w:rPr>
                  <m:t>+</m:t>
                </m:r>
                <m:sSub>
                  <m:sSubPr>
                    <m:ctrlPr>
                      <w:rPr>
                        <w:rFonts w:ascii="Cambria Math" w:hAnsi="Cambria Math"/>
                      </w:rPr>
                    </m:ctrlPr>
                  </m:sSubPr>
                  <m:e>
                    <m:r>
                      <m:rPr>
                        <m:sty m:val="bi"/>
                      </m:rPr>
                      <w:rPr>
                        <w:rFonts w:ascii="Cambria Math" w:hAnsi="Cambria Math"/>
                      </w:rPr>
                      <m:t>δ</m:t>
                    </m:r>
                    <m:ctrlPr>
                      <w:rPr>
                        <w:rFonts w:ascii="Cambria Math" w:hAnsi="Cambria Math"/>
                      </w:rPr>
                    </m:ctrlPr>
                  </m:e>
                  <m: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tgt</m:t>
                        </m:r>
                        <m:ctrlPr>
                          <w:rPr>
                            <w:rFonts w:ascii="Cambria Math" w:hAnsi="Cambria Math"/>
                          </w:rPr>
                        </m:ctrlPr>
                      </m:sub>
                    </m:sSub>
                    <m:ctrlPr>
                      <w:rPr>
                        <w:rFonts w:ascii="Cambria Math" w:hAnsi="Cambria Math"/>
                      </w:rPr>
                    </m:ctrlPr>
                  </m:sub>
                </m:sSub>
                <m:r>
                  <m:rPr/>
                  <w:rPr>
                    <w:rFonts w:ascii="Cambria Math" w:hAnsi="Cambria Math"/>
                  </w:rPr>
                  <m:t>.</m:t>
                </m:r>
              </m:oMath>
            </m:oMathPara>
          </w:p>
        </w:tc>
        <w:tc>
          <w:tcPr>
            <w:tcW w:w="1351" w:type="dxa"/>
          </w:tcPr>
          <w:p w14:paraId="39CBEE6C">
            <w:pPr>
              <w:pStyle w:val="6"/>
              <w:ind w:firstLine="0"/>
              <w:jc w:val="right"/>
              <w:rPr>
                <w:rFonts w:hint="eastAsia"/>
              </w:rPr>
            </w:pPr>
            <w:r>
              <w:rPr>
                <w:rStyle w:val="19"/>
                <w:rFonts w:hint="eastAsia"/>
              </w:rPr>
              <w:t>(3)</w:t>
            </w:r>
          </w:p>
        </w:tc>
      </w:tr>
    </w:tbl>
    <w:p w14:paraId="0095B55D">
      <w:pPr>
        <w:pStyle w:val="4"/>
        <w:rPr>
          <w:rFonts w:hint="eastAsia"/>
        </w:rPr>
      </w:pPr>
      <w:r>
        <w:rPr>
          <w:rFonts w:hint="eastAsia"/>
        </w:rPr>
        <w:t>2.3 sgRNA效率条件模块</w:t>
      </w:r>
    </w:p>
    <w:p w14:paraId="1644ABD2">
      <w:pPr>
        <w:ind w:firstLine="480" w:firstLineChars="200"/>
        <w:rPr>
          <w:rFonts w:hint="eastAsia"/>
        </w:rPr>
      </w:pPr>
      <w:r>
        <w:t>为允许</w:t>
      </w:r>
      <w:r>
        <w:rPr>
          <w:rFonts w:hint="eastAsia"/>
          <w:lang w:val="en-US" w:eastAsia="zh-CN"/>
        </w:rPr>
        <w:t>不同靶基因条件的受扰动细胞</w:t>
      </w:r>
      <w:r>
        <w:rPr>
          <w:rFonts w:hint="eastAsia"/>
        </w:rPr>
        <w:t>在</w:t>
      </w:r>
      <w:r>
        <w:t>同一原始</w:t>
      </w:r>
      <w:r>
        <w:rPr>
          <w:rFonts w:hint="eastAsia"/>
        </w:rPr>
        <w:t>sgRNA效率</w:t>
      </w:r>
      <w:r>
        <w:rPr>
          <w:rFonts w:hint="eastAsia"/>
          <w:lang w:val="en-US" w:eastAsia="zh-CN"/>
        </w:rPr>
        <w:t>数值</w:t>
      </w:r>
      <w:r>
        <w:rPr>
          <w:rFonts w:hint="eastAsia"/>
        </w:rPr>
        <w:t>条件下</w:t>
      </w:r>
      <w:r>
        <w:t>产生不同</w:t>
      </w:r>
      <w:r>
        <w:rPr>
          <w:rFonts w:hint="eastAsia"/>
        </w:rPr>
        <w:t>幅</w:t>
      </w:r>
      <w:r>
        <w:t>度的响应，</w:t>
      </w:r>
      <w:r>
        <w:rPr>
          <w:rFonts w:hint="eastAsia"/>
        </w:rPr>
        <w:t>用sigmoid函数处理原始值</w:t>
      </w:r>
      <m:oMath>
        <m:r>
          <m:rPr/>
          <w:rPr>
            <w:rFonts w:ascii="Cambria Math"/>
          </w:rPr>
          <m:t>s</m:t>
        </m:r>
      </m:oMath>
      <w: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8"/>
        <w:gridCol w:w="5367"/>
        <w:gridCol w:w="1351"/>
      </w:tblGrid>
      <w:tr w14:paraId="1F797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8" w:type="dxa"/>
          </w:tcPr>
          <w:p w14:paraId="7735C988">
            <w:pPr>
              <w:pStyle w:val="6"/>
              <w:ind w:firstLine="0"/>
              <w:rPr>
                <w:rFonts w:hint="eastAsia"/>
              </w:rPr>
            </w:pPr>
          </w:p>
        </w:tc>
        <w:tc>
          <w:tcPr>
            <w:tcW w:w="5367" w:type="dxa"/>
          </w:tcPr>
          <w:p w14:paraId="09D882C5">
            <w:pPr>
              <w:pStyle w:val="6"/>
              <w:ind w:firstLine="0"/>
              <w:jc w:val="center"/>
              <w:rPr>
                <w:rFonts w:hint="eastAsia"/>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(s)=σ(</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s+</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),σ(x)=</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−x</m:t>
                        </m:r>
                        <m:ctrlPr>
                          <w:rPr>
                            <w:rFonts w:ascii="Cambria Math" w:hAnsi="Cambria Math"/>
                          </w:rPr>
                        </m:ctrlPr>
                      </m:sup>
                    </m:sSup>
                    <m:ctrlPr>
                      <w:rPr>
                        <w:rFonts w:ascii="Cambria Math" w:hAnsi="Cambria Math"/>
                      </w:rPr>
                    </m:ctrlPr>
                  </m:den>
                </m:f>
                <m:r>
                  <m:rPr/>
                  <w:rPr>
                    <w:rFonts w:ascii="Cambria Math" w:hAnsi="Cambria Math"/>
                  </w:rPr>
                  <m:t>.</m:t>
                </m:r>
              </m:oMath>
            </m:oMathPara>
          </w:p>
        </w:tc>
        <w:tc>
          <w:tcPr>
            <w:tcW w:w="1351" w:type="dxa"/>
          </w:tcPr>
          <w:p w14:paraId="2B288991">
            <w:pPr>
              <w:pStyle w:val="6"/>
              <w:ind w:firstLine="0"/>
              <w:jc w:val="right"/>
              <w:rPr>
                <w:rFonts w:hint="eastAsia"/>
              </w:rPr>
            </w:pPr>
            <w:r>
              <w:rPr>
                <w:rStyle w:val="19"/>
                <w:rFonts w:hint="eastAsia"/>
              </w:rPr>
              <w:t>(4)</w:t>
            </w:r>
          </w:p>
        </w:tc>
      </w:tr>
    </w:tbl>
    <w:p w14:paraId="0F99287B">
      <w:pPr>
        <w:ind w:firstLine="480" w:firstLineChars="200"/>
      </w:pPr>
      <w:r>
        <w:t>其中，</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c</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oMath>
      <w:r>
        <w:t>分别是</w:t>
      </w:r>
      <m:oMath>
        <m:sSub>
          <m:sSubPr>
            <m:ctrlPr>
              <w:rPr>
                <w:rFonts w:ascii="Cambria Math" w:hAnsi="Cambria Math"/>
              </w:rPr>
            </m:ctrlPr>
          </m:sSubPr>
          <m:e>
            <m:r>
              <m:rPr>
                <m:sty m:val="p"/>
              </m:rPr>
              <w:rPr>
                <w:rFonts w:hint="eastAsia" w:ascii="Cambria Math" w:hAnsi="Cambria Math"/>
                <w:lang w:val="en-US" w:eastAsia="zh-CN"/>
              </w:rPr>
              <m:t>ta</m:t>
            </m:r>
            <m:r>
              <m:rPr>
                <m:sty m:val="p"/>
              </m:rPr>
              <w:rPr>
                <w:rFonts w:hint="default" w:ascii="Cambria Math" w:hAnsi="Cambria Math"/>
                <w:lang w:val="en-US" w:eastAsia="zh-CN"/>
              </w:rPr>
              <m:t>rget</m:t>
            </m:r>
            <m:ctrlPr>
              <w:rPr>
                <w:rFonts w:ascii="Cambria Math" w:hAnsi="Cambria Math"/>
              </w:rPr>
            </m:ctrlPr>
          </m:e>
          <m:sub>
            <m:r>
              <m:rPr/>
              <w:rPr>
                <w:rFonts w:ascii="Cambria Math" w:hAnsi="Cambria Math"/>
              </w:rPr>
              <m:t>c</m:t>
            </m:r>
            <m:ctrlPr>
              <w:rPr>
                <w:rFonts w:ascii="Cambria Math" w:hAnsi="Cambria Math"/>
              </w:rPr>
            </m:ctrlPr>
          </m:sub>
        </m:sSub>
      </m:oMath>
      <w:r>
        <w:t>的斜率和偏置。</w:t>
      </w:r>
    </w:p>
    <w:p w14:paraId="75DAC9D0">
      <w:pPr>
        <w:ind w:firstLine="480" w:firstLineChars="200"/>
        <w:rPr>
          <w:rFonts w:hint="eastAsia"/>
        </w:rPr>
      </w:pPr>
      <w:r>
        <w:t>将经过</w:t>
      </w:r>
      <w:r>
        <w:rPr>
          <w:rFonts w:hint="eastAsia"/>
        </w:rPr>
        <w:t>sigmoid</w:t>
      </w:r>
      <w:r>
        <w:t>函数变换的活性值</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(s)</m:t>
        </m:r>
      </m:oMath>
      <w:r>
        <w:rPr>
          <w:rFonts w:hint="eastAsia"/>
        </w:rPr>
        <w:t>经过一个两层线性网络将其升维映射为条件向量</w:t>
      </w:r>
      <m:oMath>
        <m:sSubSup>
          <m:sSubSupPr>
            <m:ctrlPr>
              <w:rPr>
                <w:rFonts w:ascii="Cambria Math" w:hAnsi="Cambria Math"/>
              </w:rPr>
            </m:ctrlPr>
          </m:sSubSupPr>
          <m:e>
            <m:r>
              <m:rPr>
                <m:sty m:val="b"/>
              </m:rPr>
              <w:rPr>
                <w:rFonts w:ascii="Cambria Math"/>
              </w:rPr>
              <m:t>h</m:t>
            </m:r>
            <m:ctrlPr>
              <w:rPr>
                <w:rFonts w:ascii="Cambria Math" w:hAnsi="Cambria Math"/>
              </w:rPr>
            </m:ctrlPr>
          </m:e>
          <m:sub>
            <m:r>
              <m:rPr/>
              <w:rPr>
                <w:rFonts w:ascii="Cambria Math"/>
              </w:rPr>
              <m:t>i</m:t>
            </m:r>
            <m:ctrlPr>
              <w:rPr>
                <w:rFonts w:ascii="Cambria Math" w:hAnsi="Cambria Math"/>
              </w:rPr>
            </m:ctrlPr>
          </m:sub>
          <m:sup>
            <m:r>
              <m:rPr>
                <m:sty m:val="p"/>
              </m:rPr>
              <w:rPr>
                <w:rFonts w:ascii="Cambria Math"/>
              </w:rPr>
              <m:t>act</m:t>
            </m:r>
            <m:ctrlPr>
              <w:rPr>
                <w:rFonts w:ascii="Cambria Math" w:hAnsi="Cambria Math"/>
              </w:rPr>
            </m:ctrlPr>
          </m:sup>
        </m:sSubSup>
      </m:oMath>
      <w:r>
        <w:rPr>
          <w:rFonts w:hint="eastAsia"/>
        </w:rPr>
        <w:t>，</w:t>
      </w:r>
      <w:r>
        <w:t>该</w:t>
      </w:r>
      <w:r>
        <w:rPr>
          <w:rFonts w:hint="eastAsia"/>
        </w:rPr>
        <w:t>条件向量</w:t>
      </w:r>
      <w:r>
        <w:t>与带噪表达</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oMath>
      <w:r>
        <w:t>、时间步embedding和扰动条件</w:t>
      </w:r>
      <w:r>
        <w:rPr>
          <w:rFonts w:hint="eastAsia"/>
        </w:rPr>
        <w:t>向量</w:t>
      </w:r>
      <m:oMath>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cond</m:t>
            </m:r>
            <m:ctrlPr>
              <w:rPr>
                <w:rFonts w:ascii="Cambria Math" w:hAnsi="Cambria Math"/>
              </w:rPr>
            </m:ctrlPr>
          </m:sup>
        </m:sSubSup>
      </m:oMath>
      <w:r>
        <w:t>一起</w:t>
      </w:r>
      <w:r>
        <w:rPr>
          <w:rFonts w:hint="eastAsia"/>
        </w:rPr>
        <w:t>拼接</w:t>
      </w:r>
      <w:r>
        <w:t>输入去噪器</w:t>
      </w:r>
      <w:r>
        <w:rPr>
          <w:rFonts w:hint="eastAsia"/>
        </w:rPr>
        <w:t>。</w:t>
      </w:r>
    </w:p>
    <w:p w14:paraId="7CB6B623">
      <w:pPr>
        <w:pStyle w:val="4"/>
        <w:rPr>
          <w:rFonts w:hint="eastAsia"/>
        </w:rPr>
      </w:pPr>
      <w:r>
        <w:rPr>
          <w:rFonts w:hint="eastAsia"/>
        </w:rPr>
        <w:t>2.4 去噪网络</w:t>
      </w:r>
    </w:p>
    <w:p w14:paraId="10A533AF">
      <w:pPr>
        <w:pStyle w:val="6"/>
        <w:rPr>
          <w:rFonts w:hint="eastAsia"/>
        </w:rPr>
      </w:pPr>
      <w:r>
        <w:rPr>
          <w:rFonts w:hint="eastAsia"/>
        </w:rPr>
        <w:t>去噪网络通过预测每一步添加的噪声而从噪声中还原原始数据</w:t>
      </w:r>
      <w:r>
        <w:rPr>
          <w:rFonts w:hint="eastAsia"/>
        </w:rPr>
        <w:fldChar w:fldCharType="begin"/>
      </w:r>
      <w:r>
        <w:rPr>
          <w:rFonts w:hint="eastAsia"/>
        </w:rPr>
        <w:instrText xml:space="preserve"> ADDIN ZOTERO_ITEM CSL_CITATION {"citationID":"guGWnARs","properties":{"unsorted":false,"formattedCitation":"\\super [1]\\nosupersub{}","plainCitation":"[1]","noteIndex":0},"citationItems":[{"id":1314,"uris":["http://zotero.org/users/18282877/items/ZP5BC7ME"],"itemData":{"id":1314,"type":"paper-conference","container-title":"2022 IEEE/CVF Conference on Computer Vision and Pattern Recognition (CVPR)","DOI":"10.1109/CVPR52688.2022.01036","event-title":"2022 IEEE/CVF Conference on Computer Vision and Pattern Recognition (CVPR)","ISBN":"978-1-6654-6946-3","language":"en","license":"https://doi.org/10.15223/policy-029","page":"10609-10619","publisher":"IEEE","publisher-place":"New Orleans, LA, USA","source":"DOI.org (Crossref)","title":"Diffusion Autoencoders: Toward a Meaningful and Decodable Representation","title-short":"Diffusion Autoencoders","URL":"https://ieeexplore.ieee.org/document/9878402/","author":[{"family":"Preechakul","given":"Konpat"},{"family":"Chatthee","given":"Nattanat"},{"family":"Wizadwongsa","given":"Suttisak"},{"family":"Suwajanakorn","given":"Supasorn"}],"accessed":{"date-parts":[["2026",6,2]]},"issued":{"date-parts":[["2022",6]]}}}],"schema":"https://github.com/citation-style-language/schema/raw/master/csl-citation.json"} </w:instrText>
      </w:r>
      <w:r>
        <w:rPr>
          <w:rFonts w:hint="eastAsia"/>
        </w:rPr>
        <w:fldChar w:fldCharType="separate"/>
      </w:r>
      <w:r>
        <w:rPr>
          <w:rFonts w:cs="Times New Roman"/>
          <w:vertAlign w:val="superscript"/>
        </w:rPr>
        <w:t>[1]</w:t>
      </w:r>
      <w:r>
        <w:rPr>
          <w:rFonts w:hint="eastAsia"/>
        </w:rPr>
        <w:fldChar w:fldCharType="end"/>
      </w:r>
      <w:r>
        <w:rPr>
          <w:rFonts w:hint="eastAsia"/>
        </w:rPr>
        <w:t>。给定真实表达谱</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oMath>
      <w:r>
        <w:rPr>
          <w:rFonts w:hint="eastAsia"/>
        </w:rPr>
        <w:t>，扩散模型的前向扩散加噪过程是</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1C0BE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297AA49F">
            <w:pPr>
              <w:pStyle w:val="6"/>
              <w:ind w:firstLine="0"/>
              <w:rPr>
                <w:rFonts w:hint="eastAsia"/>
              </w:rPr>
            </w:pPr>
          </w:p>
        </w:tc>
        <w:tc>
          <w:tcPr>
            <w:tcW w:w="4580" w:type="dxa"/>
          </w:tcPr>
          <w:p w14:paraId="618FDF16">
            <w:pPr>
              <w:pStyle w:val="6"/>
              <w:ind w:firstLine="0"/>
              <w:jc w:val="center"/>
              <w:rPr>
                <w:rFonts w:hAnsi="Cambria Math"/>
              </w:rPr>
            </w:pP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i,t</m:t>
                  </m:r>
                  <m:ctrlPr>
                    <w:rPr>
                      <w:rFonts w:ascii="Cambria Math" w:hAnsi="Cambria Math"/>
                    </w:rPr>
                  </m:ctrlPr>
                </m:sub>
              </m:sSub>
              <m:r>
                <m:rPr/>
                <w:rPr>
                  <w:rFonts w:asci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rPr>
                            <m:t>α</m:t>
                          </m:r>
                          <m:ctrlPr>
                            <w:rPr>
                              <w:rFonts w:ascii="Cambria Math" w:hAnsi="Cambria Math"/>
                            </w:rPr>
                          </m:ctrlPr>
                        </m:e>
                      </m:acc>
                      <m:ctrlPr>
                        <w:rPr>
                          <w:rFonts w:ascii="Cambria Math" w:hAnsi="Cambria Math"/>
                        </w:rPr>
                      </m:ctrlPr>
                    </m:e>
                    <m:sub>
                      <m:r>
                        <m:rPr/>
                        <w:rPr>
                          <w:rFonts w:ascii="Cambria Math"/>
                        </w:rPr>
                        <m:t>t</m:t>
                      </m:r>
                      <m:ctrlPr>
                        <w:rPr>
                          <w:rFonts w:ascii="Cambria Math" w:hAnsi="Cambria Math"/>
                        </w:rPr>
                      </m:ctrlPr>
                    </m:sub>
                  </m:sSub>
                  <m:ctrlPr>
                    <w:rPr>
                      <w:rFonts w:ascii="Cambria Math" w:hAnsi="Cambria Math"/>
                    </w:rPr>
                  </m:ctrlPr>
                </m:e>
              </m:rad>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i,0</m:t>
                  </m:r>
                  <m:ctrlPr>
                    <w:rPr>
                      <w:rFonts w:ascii="Cambria Math" w:hAnsi="Cambria Math"/>
                    </w:rPr>
                  </m:ctrlPr>
                </m:sub>
              </m:sSub>
              <m:r>
                <m:rPr/>
                <w:rPr>
                  <w:rFonts w:ascii="Cambria Math"/>
                </w:rPr>
                <m:t>+</m:t>
              </m:r>
              <m:rad>
                <m:radPr>
                  <m:degHide m:val="1"/>
                  <m:ctrlPr>
                    <w:rPr>
                      <w:rFonts w:ascii="Cambria Math" w:hAnsi="Cambria Math"/>
                    </w:rPr>
                  </m:ctrlPr>
                </m:radPr>
                <m:deg>
                  <m:ctrlPr>
                    <w:rPr>
                      <w:rFonts w:ascii="Cambria Math" w:hAnsi="Cambria Math"/>
                    </w:rPr>
                  </m:ctrlPr>
                </m:deg>
                <m:e>
                  <m:r>
                    <m:rPr/>
                    <w:rPr>
                      <w:rFonts w:ascii="Cambria Math"/>
                    </w:rPr>
                    <m:t>1−</m:t>
                  </m:r>
                  <m:sSub>
                    <m:sSubPr>
                      <m:ctrlPr>
                        <w:rPr>
                          <w:rFonts w:ascii="Cambria Math" w:hAnsi="Cambria Math"/>
                        </w:rPr>
                      </m:ctrlPr>
                    </m:sSubPr>
                    <m:e>
                      <m:acc>
                        <m:accPr>
                          <m:chr m:val="̄"/>
                          <m:ctrlPr>
                            <w:rPr>
                              <w:rFonts w:ascii="Cambria Math" w:hAnsi="Cambria Math"/>
                            </w:rPr>
                          </m:ctrlPr>
                        </m:accPr>
                        <m:e>
                          <m:r>
                            <m:rPr/>
                            <w:rPr>
                              <w:rFonts w:ascii="Cambria Math"/>
                            </w:rPr>
                            <m:t>α</m:t>
                          </m:r>
                          <m:ctrlPr>
                            <w:rPr>
                              <w:rFonts w:ascii="Cambria Math" w:hAnsi="Cambria Math"/>
                            </w:rPr>
                          </m:ctrlPr>
                        </m:e>
                      </m:acc>
                      <m:ctrlPr>
                        <w:rPr>
                          <w:rFonts w:ascii="Cambria Math" w:hAnsi="Cambria Math"/>
                        </w:rPr>
                      </m:ctrlPr>
                    </m:e>
                    <m:sub>
                      <m:r>
                        <m:rPr/>
                        <w:rPr>
                          <w:rFonts w:ascii="Cambria Math"/>
                        </w:rPr>
                        <m:t>t</m:t>
                      </m:r>
                      <m:ctrlPr>
                        <w:rPr>
                          <w:rFonts w:ascii="Cambria Math" w:hAnsi="Cambria Math"/>
                        </w:rPr>
                      </m:ctrlPr>
                    </m:sub>
                  </m:sSub>
                  <m:ctrlPr>
                    <w:rPr>
                      <w:rFonts w:ascii="Cambria Math" w:hAnsi="Cambria Math"/>
                    </w:rPr>
                  </m:ctrlPr>
                </m:e>
              </m:rad>
              <m:r>
                <m:rPr/>
                <w:rPr>
                  <w:rFonts w:ascii="Cambria Math"/>
                </w:rPr>
                <m:t>ϵ, ϵ∼</m:t>
              </m:r>
              <m:r>
                <m:rPr>
                  <m:scr m:val="script"/>
                </m:rPr>
                <w:rPr>
                  <w:rFonts w:ascii="Cambria Math"/>
                </w:rPr>
                <m:t>N(</m:t>
              </m:r>
              <m:r>
                <m:rPr>
                  <m:sty m:val="b"/>
                </m:rPr>
                <w:rPr>
                  <w:rFonts w:ascii="Cambria Math"/>
                </w:rPr>
                <m:t>0</m:t>
              </m:r>
              <m:r>
                <m:rPr/>
                <w:rPr>
                  <w:rFonts w:ascii="Cambria Math"/>
                </w:rPr>
                <m:t>,</m:t>
              </m:r>
              <m:r>
                <m:rPr>
                  <m:sty m:val="b"/>
                </m:rPr>
                <w:rPr>
                  <w:rFonts w:ascii="Cambria Math"/>
                </w:rPr>
                <m:t>I</m:t>
              </m:r>
              <m:r>
                <m:rPr/>
                <w:rPr>
                  <w:rFonts w:ascii="Cambria Math"/>
                </w:rPr>
                <m:t>)</m:t>
              </m:r>
            </m:oMath>
            <w:r>
              <w:rPr>
                <w:rFonts w:hint="eastAsia"/>
              </w:rPr>
              <w:t>,</w:t>
            </w:r>
          </w:p>
        </w:tc>
        <w:tc>
          <w:tcPr>
            <w:tcW w:w="1951" w:type="dxa"/>
          </w:tcPr>
          <w:p w14:paraId="5A7432E6">
            <w:pPr>
              <w:pStyle w:val="6"/>
              <w:ind w:firstLine="0"/>
              <w:jc w:val="right"/>
              <w:rPr>
                <w:rFonts w:hint="eastAsia"/>
              </w:rPr>
            </w:pPr>
            <w:r>
              <w:rPr>
                <w:rStyle w:val="19"/>
                <w:rFonts w:hint="eastAsia"/>
              </w:rPr>
              <w:t>(5)</w:t>
            </w:r>
          </w:p>
        </w:tc>
      </w:tr>
    </w:tbl>
    <w:p w14:paraId="563ED757">
      <w:pPr>
        <w:pStyle w:val="6"/>
        <w:rPr>
          <w:rFonts w:hint="eastAsia"/>
        </w:rPr>
      </w:pPr>
      <w:r>
        <w:rPr>
          <w:rFonts w:hint="eastAsia"/>
        </w:rPr>
        <w:t xml:space="preserve">条件去噪器 </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θ</m:t>
            </m:r>
            <m:ctrlPr>
              <w:rPr>
                <w:rFonts w:ascii="Cambria Math" w:hAnsi="Cambria Math"/>
              </w:rPr>
            </m:ctrlPr>
          </m:sub>
        </m:sSub>
      </m:oMath>
      <w:r>
        <w:rPr>
          <w:rFonts w:hint="eastAsia"/>
        </w:rPr>
        <w:t xml:space="preserve"> 是一个MLP。它通过矩阵拼接接收带噪表达 </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i,t</m:t>
            </m:r>
            <m:ctrlPr>
              <w:rPr>
                <w:rFonts w:ascii="Cambria Math" w:hAnsi="Cambria Math"/>
              </w:rPr>
            </m:ctrlPr>
          </m:sub>
        </m:sSub>
      </m:oMath>
      <w:r>
        <w:rPr>
          <w:rFonts w:hint="eastAsia"/>
        </w:rPr>
        <w:t>、正弦时间步embedding、条件向量</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m:sty m:val="p"/>
              </m:rPr>
              <w:rPr>
                <w:rFonts w:ascii="Cambria Math"/>
              </w:rPr>
              <m:t>cond</m:t>
            </m:r>
            <m:ctrlPr>
              <w:rPr>
                <w:rFonts w:ascii="Cambria Math" w:hAnsi="Cambria Math"/>
              </w:rPr>
            </m:ctrlPr>
          </m:sup>
        </m:sSubSup>
      </m:oMath>
      <w:r>
        <w:rPr>
          <w:rFonts w:hint="eastAsia" w:hAnsi="Cambria Math"/>
        </w:rPr>
        <w:t>和条件向量</w:t>
      </w:r>
      <m:oMath>
        <m:sSubSup>
          <m:sSubSupPr>
            <m:ctrlPr>
              <w:rPr>
                <w:rFonts w:ascii="Cambria Math" w:hAnsi="Cambria Math"/>
              </w:rPr>
            </m:ctrlPr>
          </m:sSubSupPr>
          <m:e>
            <m:r>
              <m:rPr>
                <m:sty m:val="b"/>
              </m:rPr>
              <w:rPr>
                <w:rFonts w:ascii="Cambria Math"/>
              </w:rPr>
              <m:t>h</m:t>
            </m:r>
            <m:ctrlPr>
              <w:rPr>
                <w:rFonts w:ascii="Cambria Math" w:hAnsi="Cambria Math"/>
              </w:rPr>
            </m:ctrlPr>
          </m:e>
          <m:sub>
            <m:r>
              <m:rPr/>
              <w:rPr>
                <w:rFonts w:ascii="Cambria Math"/>
              </w:rPr>
              <m:t>i</m:t>
            </m:r>
            <m:ctrlPr>
              <w:rPr>
                <w:rFonts w:ascii="Cambria Math" w:hAnsi="Cambria Math"/>
              </w:rPr>
            </m:ctrlPr>
          </m:sub>
          <m:sup>
            <m:r>
              <m:rPr>
                <m:sty m:val="p"/>
              </m:rPr>
              <w:rPr>
                <w:rFonts w:ascii="Cambria Math"/>
              </w:rPr>
              <m:t>act</m:t>
            </m:r>
            <m:ctrlPr>
              <w:rPr>
                <w:rFonts w:ascii="Cambria Math" w:hAnsi="Cambria Math"/>
              </w:rPr>
            </m:ctrlPr>
          </m:sup>
        </m:sSubSup>
      </m:oMath>
      <w:r>
        <w:rPr>
          <w:rFonts w:hint="eastAsia"/>
        </w:rPr>
        <w:t>，输出维度与表达向量相同。</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5CF69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66592177">
            <w:pPr>
              <w:pStyle w:val="6"/>
              <w:ind w:firstLine="0"/>
              <w:rPr>
                <w:rFonts w:hint="eastAsia"/>
              </w:rPr>
            </w:pPr>
          </w:p>
        </w:tc>
        <w:tc>
          <w:tcPr>
            <w:tcW w:w="4580" w:type="dxa"/>
          </w:tcPr>
          <w:p w14:paraId="55CEB0BB">
            <w:pPr>
              <w:pStyle w:val="6"/>
              <w:ind w:firstLine="0"/>
              <w:jc w:val="center"/>
              <w:rPr>
                <w:rFonts w:hAnsi="Cambria Math"/>
              </w:rPr>
            </w:p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cond</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ty m:val="b"/>
                    </m:rPr>
                    <w:rPr>
                      <w:rFonts w:ascii="Cambria Math"/>
                    </w:rPr>
                    <m:t>h</m:t>
                  </m:r>
                  <m:ctrlPr>
                    <w:rPr>
                      <w:rFonts w:ascii="Cambria Math" w:hAnsi="Cambria Math"/>
                    </w:rPr>
                  </m:ctrlPr>
                </m:e>
                <m:sub>
                  <m:r>
                    <m:rPr/>
                    <w:rPr>
                      <w:rFonts w:ascii="Cambria Math"/>
                    </w:rPr>
                    <m:t>i</m:t>
                  </m:r>
                  <m:ctrlPr>
                    <w:rPr>
                      <w:rFonts w:ascii="Cambria Math" w:hAnsi="Cambria Math"/>
                    </w:rPr>
                  </m:ctrlPr>
                </m:sub>
                <m:sup>
                  <m:r>
                    <m:rPr>
                      <m:sty m:val="p"/>
                    </m:rPr>
                    <w:rPr>
                      <w:rFonts w:ascii="Cambria Math"/>
                    </w:rPr>
                    <m:t>act</m:t>
                  </m:r>
                  <m:ctrlPr>
                    <w:rPr>
                      <w:rFonts w:ascii="Cambria Math" w:hAnsi="Cambria Math"/>
                    </w:rPr>
                  </m:ctrlPr>
                </m:sup>
              </m:sSubSup>
              <m:r>
                <m:rPr/>
                <w:rPr>
                  <w:rFonts w:ascii="Cambria Math" w:hAnsi="Cambria Math"/>
                </w:rPr>
                <m:t>)</m:t>
              </m:r>
            </m:oMath>
            <w:r>
              <w:rPr>
                <w:rFonts w:hint="eastAsia" w:hAnsi="Cambria Math"/>
              </w:rPr>
              <w:t>.</w:t>
            </w:r>
          </w:p>
        </w:tc>
        <w:tc>
          <w:tcPr>
            <w:tcW w:w="1951" w:type="dxa"/>
          </w:tcPr>
          <w:p w14:paraId="282D46F0">
            <w:pPr>
              <w:pStyle w:val="6"/>
              <w:ind w:firstLine="0"/>
              <w:jc w:val="right"/>
              <w:rPr>
                <w:rFonts w:hint="eastAsia"/>
              </w:rPr>
            </w:pPr>
            <w:r>
              <w:rPr>
                <w:rStyle w:val="19"/>
                <w:rFonts w:hint="eastAsia"/>
              </w:rPr>
              <w:t>(6)</w:t>
            </w:r>
          </w:p>
        </w:tc>
      </w:tr>
    </w:tbl>
    <w:p w14:paraId="084BE9FF">
      <w:pPr>
        <w:pStyle w:val="4"/>
        <w:rPr>
          <w:rFonts w:hint="eastAsia"/>
        </w:rPr>
      </w:pPr>
      <w:r>
        <w:t>2.5 因果潜变量模块</w:t>
      </w:r>
    </w:p>
    <w:p w14:paraId="6C79590C">
      <w:pPr>
        <w:ind w:firstLine="480" w:firstLineChars="200"/>
        <w:rPr>
          <w:rFonts w:hint="eastAsia"/>
        </w:rPr>
      </w:pPr>
      <w:r>
        <w:t>为</w:t>
      </w:r>
      <w:r>
        <w:rPr>
          <w:rFonts w:hint="eastAsia"/>
        </w:rPr>
        <w:t>实现可解释的生成效果</w:t>
      </w:r>
      <w:r>
        <w:t>，引入因果潜变量模块。设已知概念有向无环图</w:t>
      </w:r>
      <w:r>
        <w:rPr>
          <w:rFonts w:hint="eastAsia"/>
        </w:rPr>
        <w:t>（DAG）</w:t>
      </w:r>
      <w:r>
        <w:t>的邻接矩阵为</w:t>
      </w:r>
      <m:oMath>
        <m:r>
          <m:rPr/>
          <w:rPr>
            <w:rFonts w:ascii="Cambria Math"/>
          </w:rPr>
          <m:t>A</m:t>
        </m:r>
      </m:oMath>
      <w:r>
        <w:t>（由先验</w:t>
      </w:r>
      <w:r>
        <w:rPr>
          <w:rFonts w:hint="eastAsia"/>
        </w:rPr>
        <w:t>因果</w:t>
      </w:r>
      <w:r>
        <w:t>结构给定），</w:t>
      </w:r>
      <w:r>
        <w:rPr>
          <w:rFonts w:hint="eastAsia"/>
        </w:rPr>
        <w:t>细胞基因表达谱输入MLP</w:t>
      </w:r>
      <w:r>
        <w:t>编码器得到外生概念表示</w:t>
      </w:r>
      <m:oMath>
        <m:r>
          <m:rPr/>
          <w:rPr>
            <w:rFonts w:ascii="Cambria Math"/>
          </w:rPr>
          <m:t>u</m:t>
        </m:r>
      </m:oMath>
      <w:r>
        <w:t>，</w:t>
      </w:r>
      <w:r>
        <w:rPr>
          <w:rFonts w:ascii="Helvetica" w:hAnsi="Helvetica" w:eastAsia="Helvetica" w:cs="Helvetica"/>
          <w:color w:val="333333"/>
          <w:shd w:val="clear" w:color="auto" w:fill="FFFFFF"/>
        </w:rPr>
        <w:t>则</w:t>
      </w:r>
      <w:r>
        <w:rPr>
          <w:rFonts w:hint="eastAsia" w:ascii="Helvetica" w:hAnsi="Helvetica" w:cs="Helvetica"/>
          <w:color w:val="333333"/>
          <w:shd w:val="clear" w:color="auto" w:fill="FFFFFF"/>
        </w:rPr>
        <w:t>内生</w:t>
      </w:r>
      <w:r>
        <w:rPr>
          <w:rFonts w:ascii="Helvetica" w:hAnsi="Helvetica" w:eastAsia="Helvetica" w:cs="Helvetica"/>
          <w:color w:val="333333"/>
          <w:shd w:val="clear" w:color="auto" w:fill="FFFFFF"/>
        </w:rPr>
        <w:t>因果表示</w:t>
      </w:r>
      <m:oMath>
        <m:r>
          <m:rPr/>
          <w:rPr>
            <w:rFonts w:ascii="Cambria Math"/>
          </w:rPr>
          <m:t>z</m:t>
        </m:r>
      </m:oMath>
      <w:r>
        <w:rPr>
          <w:rFonts w:ascii="Helvetica" w:hAnsi="Helvetica" w:eastAsia="Helvetica" w:cs="Helvetica"/>
          <w:color w:val="333333"/>
          <w:shd w:val="clear" w:color="auto" w:fill="FFFFFF"/>
        </w:rPr>
        <w:t>满足线性结构方程：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5ABA0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372DCE3A">
            <w:pPr>
              <w:pStyle w:val="6"/>
              <w:ind w:firstLine="0"/>
              <w:rPr>
                <w:rFonts w:hint="eastAsia"/>
              </w:rPr>
            </w:pPr>
          </w:p>
        </w:tc>
        <w:tc>
          <w:tcPr>
            <w:tcW w:w="4580" w:type="dxa"/>
          </w:tcPr>
          <w:p w14:paraId="54C2D722">
            <w:pPr>
              <w:pStyle w:val="6"/>
              <w:ind w:firstLine="0"/>
              <w:jc w:val="center"/>
              <w:rPr>
                <w:rFonts w:ascii="Times New Roman" w:hAnsi="Times New Roman" w:cs="Times New Roman"/>
              </w:rPr>
            </w:pPr>
            <m:oMathPara>
              <m:oMath>
                <m:r>
                  <m:rPr/>
                  <w:rPr>
                    <w:rFonts w:ascii="Cambria Math" w:hAnsi="Cambria Math" w:cs="Times New Roman"/>
                  </w:rPr>
                  <m:t>z=Az+u=(I−A</m:t>
                </m:r>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−1</m:t>
                    </m:r>
                    <m:ctrlPr>
                      <w:rPr>
                        <w:rFonts w:ascii="Cambria Math" w:hAnsi="Cambria Math" w:cs="Times New Roman"/>
                      </w:rPr>
                    </m:ctrlPr>
                  </m:sup>
                </m:sSup>
                <m:r>
                  <m:rPr/>
                  <w:rPr>
                    <w:rFonts w:ascii="Cambria Math" w:hAnsi="Cambria Math" w:cs="Times New Roman"/>
                  </w:rPr>
                  <m:t>u.</m:t>
                </m:r>
              </m:oMath>
            </m:oMathPara>
          </w:p>
        </w:tc>
        <w:tc>
          <w:tcPr>
            <w:tcW w:w="1951" w:type="dxa"/>
          </w:tcPr>
          <w:p w14:paraId="59323763">
            <w:pPr>
              <w:pStyle w:val="6"/>
              <w:ind w:firstLine="0"/>
              <w:jc w:val="right"/>
              <w:rPr>
                <w:rFonts w:hint="eastAsia"/>
              </w:rPr>
            </w:pPr>
            <w:r>
              <w:rPr>
                <w:rStyle w:val="19"/>
                <w:rFonts w:hint="eastAsia"/>
              </w:rPr>
              <w:t>(7)</w:t>
            </w:r>
          </w:p>
        </w:tc>
      </w:tr>
    </w:tbl>
    <w:p w14:paraId="7A725337">
      <w:pPr>
        <w:ind w:firstLine="480" w:firstLineChars="200"/>
        <w:rPr>
          <w:rFonts w:hint="eastAsia"/>
        </w:rPr>
      </w:pPr>
      <w:r>
        <w:rPr>
          <w:rFonts w:hint="eastAsia"/>
        </w:rPr>
        <w:t>为使各概念表示保留对应的生物学语义，每个概念设置独立的标签预测器</w:t>
      </w:r>
      <m:oMath>
        <m:sSub>
          <m:sSubPr>
            <m:ctrlPr>
              <w:rPr>
                <w:rFonts w:ascii="Cambria Math" w:hAnsi="Cambria Math"/>
              </w:rPr>
            </m:ctrlPr>
          </m:sSubPr>
          <m:e>
            <m:r>
              <m:rPr/>
              <w:rPr>
                <w:rFonts w:ascii="Cambria Math"/>
              </w:rPr>
              <m:t>g</m:t>
            </m:r>
            <m:ctrlPr>
              <w:rPr>
                <w:rFonts w:ascii="Cambria Math" w:hAnsi="Cambria Math"/>
              </w:rPr>
            </m:ctrlPr>
          </m:e>
          <m:sub>
            <m:r>
              <m:rPr/>
              <w:rPr>
                <w:rFonts w:ascii="Cambria Math"/>
              </w:rPr>
              <m:t>k</m:t>
            </m:r>
            <m:ctrlPr>
              <w:rPr>
                <w:rFonts w:ascii="Cambria Math" w:hAnsi="Cambria Math"/>
              </w:rPr>
            </m:ctrlPr>
          </m:sub>
        </m:sSub>
      </m:oMath>
      <w:r>
        <w:rPr>
          <w:rFonts w:hint="eastAsia"/>
        </w:rPr>
        <w:t>，由该概念的因果表示</w:t>
      </w:r>
      <m:oMath>
        <m:sSub>
          <m:sSubPr>
            <m:ctrlPr>
              <w:rPr>
                <w:rFonts w:ascii="Cambria Math" w:hAnsi="Cambria Math"/>
              </w:rPr>
            </m:ctrlPr>
          </m:sSubPr>
          <m:e>
            <m:r>
              <m:rPr/>
              <w:rPr>
                <w:rFonts w:ascii="Cambria Math"/>
              </w:rPr>
              <m:t>z</m:t>
            </m:r>
            <m:ctrlPr>
              <w:rPr>
                <w:rFonts w:ascii="Cambria Math" w:hAnsi="Cambria Math"/>
              </w:rPr>
            </m:ctrlPr>
          </m:e>
          <m:sub>
            <m:r>
              <m:rPr/>
              <w:rPr>
                <w:rFonts w:ascii="Cambria Math"/>
              </w:rPr>
              <m:t>k</m:t>
            </m:r>
            <m:ctrlPr>
              <w:rPr>
                <w:rFonts w:ascii="Cambria Math" w:hAnsi="Cambria Math"/>
              </w:rPr>
            </m:ctrlPr>
          </m:sub>
        </m:sSub>
      </m:oMath>
      <w:r>
        <w:rPr>
          <w:rFonts w:hint="eastAsia"/>
        </w:rPr>
        <w:t>预测其离散外部标签</w:t>
      </w:r>
      <m:oMath>
        <m:sSub>
          <m:sSubPr>
            <m:ctrlPr>
              <w:rPr>
                <w:rFonts w:ascii="Cambria Math" w:hAnsi="Cambria Math"/>
              </w:rPr>
            </m:ctrlPr>
          </m:sSubPr>
          <m:e>
            <m:r>
              <m:rPr/>
              <w:rPr>
                <w:rFonts w:ascii="Cambria Math"/>
              </w:rPr>
              <m:t>y</m:t>
            </m:r>
            <m:ctrlPr>
              <w:rPr>
                <w:rFonts w:ascii="Cambria Math" w:hAnsi="Cambria Math"/>
              </w:rPr>
            </m:ctrlPr>
          </m:e>
          <m:sub>
            <m:r>
              <m:rPr/>
              <w:rPr>
                <w:rFonts w:ascii="Cambria Math"/>
              </w:rPr>
              <m:t>k</m:t>
            </m:r>
            <m:ctrlPr>
              <w:rPr>
                <w:rFonts w:ascii="Cambria Math" w:hAnsi="Cambria Math"/>
              </w:rPr>
            </m:ctrlPr>
          </m:sub>
        </m:sSub>
      </m:oMath>
      <w:r>
        <w:rPr>
          <w:rFonts w:hint="eastAsia"/>
        </w:rPr>
        <w:t>。对含</w:t>
      </w:r>
      <m:oMath>
        <m:r>
          <m:rPr/>
          <w:rPr>
            <w:rFonts w:ascii="Cambria Math"/>
          </w:rPr>
          <m:t>k</m:t>
        </m:r>
      </m:oMath>
      <w:r>
        <w:rPr>
          <w:rFonts w:hint="eastAsia"/>
        </w:rPr>
        <w:t>个概念、</w:t>
      </w:r>
      <m:oMath>
        <m:sSub>
          <m:sSubPr>
            <m:ctrlPr>
              <w:rPr>
                <w:rFonts w:ascii="Cambria Math" w:hAnsi="Cambria Math"/>
              </w:rPr>
            </m:ctrlPr>
          </m:sSubPr>
          <m:e>
            <m:r>
              <m:rPr/>
              <w:rPr>
                <w:rFonts w:ascii="Cambria Math"/>
              </w:rPr>
              <m:t>N</m:t>
            </m:r>
            <m:ctrlPr>
              <w:rPr>
                <w:rFonts w:ascii="Cambria Math" w:hAnsi="Cambria Math"/>
              </w:rPr>
            </m:ctrlPr>
          </m:e>
          <m:sub>
            <m:r>
              <m:rPr/>
              <w:rPr>
                <w:rFonts w:ascii="Cambria Math"/>
              </w:rPr>
              <m:t>k</m:t>
            </m:r>
            <m:ctrlPr>
              <w:rPr>
                <w:rFonts w:ascii="Cambria Math" w:hAnsi="Cambria Math"/>
              </w:rPr>
            </m:ctrlPr>
          </m:sub>
        </m:sSub>
      </m:oMath>
      <w:r>
        <w:rPr>
          <w:rFonts w:hint="eastAsia"/>
        </w:rPr>
        <w:t>类标签的任务，监督损失为各概念交叉熵的均值：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00AA8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7873088B">
            <w:pPr>
              <w:pStyle w:val="6"/>
              <w:ind w:firstLine="0"/>
              <w:rPr>
                <w:rFonts w:hint="eastAsia"/>
              </w:rPr>
            </w:pPr>
          </w:p>
        </w:tc>
        <w:tc>
          <w:tcPr>
            <w:tcW w:w="4580" w:type="dxa"/>
          </w:tcPr>
          <w:p w14:paraId="388CA8A7">
            <w:pPr>
              <w:pStyle w:val="6"/>
              <w:ind w:firstLine="0"/>
              <w:jc w:val="center"/>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ℒ</m:t>
                    </m:r>
                    <m:ctrlPr>
                      <w:rPr>
                        <w:rFonts w:ascii="Cambria Math" w:hAnsi="Cambria Math" w:cs="Times New Roman"/>
                      </w:rPr>
                    </m:ctrlPr>
                  </m:e>
                  <m:sub>
                    <m:r>
                      <m:rPr>
                        <m:sty m:val="p"/>
                      </m:rPr>
                      <w:rPr>
                        <w:rFonts w:ascii="Cambria Math" w:hAnsi="Cambria Math" w:cs="Times New Roman"/>
                      </w:rPr>
                      <m:t>label</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K</m:t>
                    </m:r>
                    <m:ctrlPr>
                      <w:rPr>
                        <w:rFonts w:ascii="Cambria Math" w:hAnsi="Cambria Math" w:cs="Times New Roman"/>
                      </w:rPr>
                    </m:ctrlPr>
                  </m:den>
                </m:f>
                <m:nary>
                  <m:naryPr>
                    <m:chr m:val="∑"/>
                    <m:limLoc m:val="subSup"/>
                    <m:ctrlPr>
                      <w:rPr>
                        <w:rFonts w:ascii="Cambria Math" w:hAnsi="Cambria Math" w:cs="Times New Roman"/>
                      </w:rPr>
                    </m:ctrlPr>
                  </m:naryPr>
                  <m:sub>
                    <m:r>
                      <m:rPr/>
                      <w:rPr>
                        <w:rFonts w:ascii="Cambria Math" w:hAnsi="Cambria Math" w:cs="Times New Roman"/>
                      </w:rPr>
                      <m:t>k=1</m:t>
                    </m:r>
                    <m:ctrlPr>
                      <w:rPr>
                        <w:rFonts w:ascii="Cambria Math" w:hAnsi="Cambria Math" w:cs="Times New Roman"/>
                      </w:rPr>
                    </m:ctrlPr>
                  </m:sub>
                  <m:sup>
                    <m:r>
                      <m:rPr/>
                      <w:rPr>
                        <w:rFonts w:ascii="Cambria Math" w:hAnsi="Cambria Math" w:cs="Times New Roman"/>
                      </w:rPr>
                      <m:t>K</m:t>
                    </m:r>
                    <m:ctrlPr>
                      <w:rPr>
                        <w:rFonts w:ascii="Cambria Math" w:hAnsi="Cambria Math" w:cs="Times New Roman"/>
                      </w:rPr>
                    </m:ctrlPr>
                  </m:sup>
                  <m:e>
                    <m:r>
                      <m:rPr>
                        <m:sty m:val="p"/>
                      </m:rPr>
                      <w:rPr>
                        <w:rFonts w:ascii="Cambria Math" w:hAnsi="Cambria Math" w:cs="Times New Roman"/>
                      </w:rPr>
                      <m:t>CE</m:t>
                    </m:r>
                    <m:ctrlPr>
                      <w:rPr>
                        <w:rFonts w:ascii="Cambria Math" w:hAnsi="Cambria Math" w:cs="Times New Roman"/>
                      </w:rPr>
                    </m:ctrlPr>
                  </m:e>
                </m:nary>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g</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z</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ctrlPr>
                      <w:rPr>
                        <w:rFonts w:ascii="Cambria Math" w:hAnsi="Cambria Math" w:cs="Times New Roman"/>
                      </w:rPr>
                    </m:ctrlPr>
                  </m:e>
                </m:d>
                <m:r>
                  <m:rPr/>
                  <w:rPr>
                    <w:rFonts w:ascii="Cambria Math" w:hAnsi="Cambria Math" w:cs="Times New Roman"/>
                  </w:rPr>
                  <m:t>.</m:t>
                </m:r>
              </m:oMath>
            </m:oMathPara>
          </w:p>
        </w:tc>
        <w:tc>
          <w:tcPr>
            <w:tcW w:w="1951" w:type="dxa"/>
          </w:tcPr>
          <w:p w14:paraId="00BC06F5">
            <w:pPr>
              <w:pStyle w:val="6"/>
              <w:ind w:firstLine="0"/>
              <w:jc w:val="right"/>
              <w:rPr>
                <w:rFonts w:hint="eastAsia"/>
              </w:rPr>
            </w:pPr>
            <w:r>
              <w:rPr>
                <w:rStyle w:val="19"/>
                <w:rFonts w:hint="eastAsia"/>
              </w:rPr>
              <w:t>(8)</w:t>
            </w:r>
          </w:p>
        </w:tc>
      </w:tr>
    </w:tbl>
    <w:p w14:paraId="16E9A36F">
      <w:pPr>
        <w:ind w:firstLine="480" w:firstLineChars="200"/>
        <w:rPr>
          <w:rFonts w:hint="eastAsia"/>
          <w:sz w:val="28"/>
          <w:szCs w:val="28"/>
        </w:rPr>
      </w:pPr>
      <w:r>
        <w:rPr>
          <w:rFonts w:hint="eastAsia"/>
        </w:rPr>
        <w:t>对目标概念执行干预时，以指定值替换该概念的结构方程，并沿DAG重新计算其后代，得到干预表示</w:t>
      </w:r>
      <m:oMath>
        <m:sSup>
          <m:sSupPr>
            <m:ctrlPr>
              <w:rPr>
                <w:rFonts w:ascii="Cambria Math" w:hAnsi="Cambria Math"/>
              </w:rPr>
            </m:ctrlPr>
          </m:sSupPr>
          <m:e>
            <m:r>
              <m:rPr>
                <m:sty m:val="b"/>
              </m:rPr>
              <w:rPr>
                <w:rFonts w:ascii="Cambria Math"/>
              </w:rPr>
              <m:t>z</m:t>
            </m:r>
            <m:ctrlPr>
              <w:rPr>
                <w:rFonts w:ascii="Cambria Math" w:hAnsi="Cambria Math"/>
              </w:rPr>
            </m:ctrlPr>
          </m:e>
          <m:sup>
            <m:r>
              <m:rPr/>
              <w:rPr>
                <w:rFonts w:ascii="Cambria Math"/>
              </w:rPr>
              <m:t>do</m:t>
            </m:r>
            <m:ctrlPr>
              <w:rPr>
                <w:rFonts w:ascii="Cambria Math" w:hAnsi="Cambria Math"/>
              </w:rPr>
            </m:ctrlPr>
          </m:sup>
        </m:sSup>
      </m:oMath>
      <w:r>
        <w:rPr>
          <w:rFonts w:hint="eastAsia"/>
        </w:rPr>
        <w:t>，</w:t>
      </w:r>
      <m:oMath>
        <m:sSup>
          <m:sSupPr>
            <m:ctrlPr>
              <w:rPr>
                <w:rFonts w:ascii="Cambria Math" w:hAnsi="Cambria Math"/>
              </w:rPr>
            </m:ctrlPr>
          </m:sSupPr>
          <m:e>
            <m:r>
              <m:rPr>
                <m:sty m:val="b"/>
              </m:rPr>
              <w:rPr>
                <w:rFonts w:ascii="Cambria Math"/>
              </w:rPr>
              <m:t>z</m:t>
            </m:r>
            <m:ctrlPr>
              <w:rPr>
                <w:rFonts w:ascii="Cambria Math" w:hAnsi="Cambria Math"/>
              </w:rPr>
            </m:ctrlPr>
          </m:e>
          <m:sup>
            <m:r>
              <m:rPr/>
              <w:rPr>
                <w:rFonts w:ascii="Cambria Math"/>
              </w:rPr>
              <m:t>do</m:t>
            </m:r>
            <m:ctrlPr>
              <w:rPr>
                <w:rFonts w:ascii="Cambria Math" w:hAnsi="Cambria Math"/>
              </w:rPr>
            </m:ctrlPr>
          </m:sup>
        </m:sSup>
      </m:oMath>
      <w:r>
        <w:rPr>
          <w:rFonts w:hint="eastAsia"/>
        </w:rPr>
        <w:t>替代</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rPr>
              <m:t>cond</m:t>
            </m:r>
            <m:ctrlPr>
              <w:rPr>
                <w:rFonts w:ascii="Cambria Math" w:hAnsi="Cambria Math"/>
              </w:rPr>
            </m:ctrlPr>
          </m:sup>
        </m:sSubSup>
      </m:oMath>
      <w:r>
        <w:rPr>
          <w:rFonts w:hint="eastAsia"/>
        </w:rPr>
        <w:t>输入条件扩散去噪器，生成相应的反事实表达谱</w:t>
      </w:r>
      <w:r>
        <w:rPr>
          <w:rFonts w:hint="eastAsia"/>
        </w:rPr>
        <w:fldChar w:fldCharType="begin"/>
      </w:r>
      <w:r>
        <w:rPr>
          <w:rFonts w:hint="eastAsia"/>
        </w:rPr>
        <w:instrText xml:space="preserve"> ADDIN ZOTERO_ITEM CSL_CITATION {"citationID":"kD9bg6TI","properties":{"unsorted":false,"formattedCitation":"\\super [2]\\nosupersub{}","plainCitation":"[2]","noteIndex":0},"citationItems":[{"id":623,"uris":["http://zotero.org/users/18282877/items/2AXNIU6D"],"itemData":{"id":623,"type":"article","abstract":"Abstract\n          Conducting disentanglement learning on single-cell omics data offers a promising alternative to traditional black-box representation learning by separating the semantic concepts embedded in a biological process. We present CausCell, which incorporates the causal relationships among disentangled concepts within a diffusion model to perform disentanglement learning, with the aim of increasing the explainability, generalizability and controllability of single-cell data, including spatial and temporal omics data, relative to those of the existing black-box representation learning models. Two quantitative evaluation scenarios, i.e., disentanglement and reconstruction, are presented to conduct the first comprehensive single-cell disentanglement learning benchmark, which demonstrates that CausCell outperforms the state-of-the-art methods in both scenarios. Additionally, CausCell can implement controllable generation by intervening with the concepts of single-cell data when given a causal structure. It also has the potential to uncover biological insights by generating counterfactuals from small and noisy single-cell datasets.","DOI":"10.1101/2024.12.11.628077","language":"en","license":"http://creativecommons.org/licenses/by-nc/4.0/","publisher":"Bioinformatics","source":"DOI.org (Crossref)","title":"Causal disentanglement for single-cell representations and controllable counterfactual generation","URL":"http://biorxiv.org/lookup/doi/10.1101/2024.12.11.628077","author":[{"family":"Gao","given":"Yicheng"},{"family":"Dong","given":"Kejing"},{"family":"Shan","given":"Caihua"},{"family":"Li","given":"Dongsheng"},{"family":"Liu","given":"Qi"}],"accessed":{"date-parts":[["2025",11,11]]},"issued":{"date-parts":[["2024",12,17]]}}}],"schema":"https://github.com/citation-style-language/schema/raw/master/csl-citation.json"} </w:instrText>
      </w:r>
      <w:r>
        <w:rPr>
          <w:rFonts w:hint="eastAsia"/>
        </w:rPr>
        <w:fldChar w:fldCharType="separate"/>
      </w:r>
      <w:r>
        <w:rPr>
          <w:rFonts w:cs="Times New Roman"/>
          <w:vertAlign w:val="superscript"/>
        </w:rPr>
        <w:t>[2]</w:t>
      </w:r>
      <w:r>
        <w:rPr>
          <w:rFonts w:hint="eastAsia"/>
        </w:rPr>
        <w:fldChar w:fldCharType="end"/>
      </w:r>
      <w:r>
        <w:rPr>
          <w:rFonts w:hint="eastAsia"/>
        </w:rPr>
        <w:t>。该模块依赖概念标签和先验因果DAG。</w:t>
      </w:r>
    </w:p>
    <w:p w14:paraId="43D41C37">
      <w:pPr>
        <w:pStyle w:val="3"/>
        <w:rPr>
          <w:rFonts w:hint="eastAsia"/>
        </w:rPr>
      </w:pPr>
      <w:r>
        <w:rPr>
          <w:rFonts w:hint="eastAsia"/>
        </w:rPr>
        <w:t>3 训练目标</w:t>
      </w:r>
    </w:p>
    <w:p w14:paraId="3B4B306A">
      <w:pPr>
        <w:pStyle w:val="6"/>
        <w:rPr>
          <w:rFonts w:hint="eastAsia"/>
        </w:rPr>
      </w:pPr>
      <w:r>
        <w:rPr>
          <w:rFonts w:hint="eastAsia"/>
        </w:rPr>
        <w:t>总损失由扩散重构损失和正则项组成</w:t>
      </w:r>
    </w:p>
    <w:p w14:paraId="4E8D2275">
      <w:pPr>
        <w:pStyle w:val="4"/>
        <w:rPr>
          <w:rFonts w:hint="eastAsia"/>
        </w:rPr>
      </w:pPr>
      <w:r>
        <w:rPr>
          <w:rFonts w:hint="eastAsia"/>
        </w:rPr>
        <w:t>3.1 扩散重构损失</w:t>
      </w:r>
    </w:p>
    <w:p w14:paraId="176FB514">
      <w:pPr>
        <w:pStyle w:val="6"/>
        <w:rPr>
          <w:rFonts w:hint="eastAsia"/>
        </w:rPr>
      </w:pPr>
      <w:r>
        <w:rPr>
          <w:rFonts w:hint="eastAsia"/>
        </w:rPr>
        <w:t>扩散重构损失采用</w:t>
      </w:r>
      <w:r>
        <w:rPr>
          <w:rFonts w:ascii="Segoe UI" w:hAnsi="Segoe UI" w:eastAsia="Segoe UI" w:cs="Segoe UI"/>
          <w:color w:val="0F1115"/>
          <w:shd w:val="clear" w:color="auto" w:fill="FFFFFF"/>
        </w:rPr>
        <w:t>加权均方误差</w:t>
      </w:r>
      <w:r>
        <w:rPr>
          <w:rFonts w:hint="eastAsia"/>
        </w:rPr>
        <w:fldChar w:fldCharType="begin"/>
      </w:r>
      <w:r>
        <w:rPr>
          <w:rFonts w:hint="eastAsia"/>
        </w:rPr>
        <w:instrText xml:space="preserve"> ADDIN ZOTERO_ITEM CSL_CITATION {"citationID":"0VJAz5nm","properties":{"unsorted":false,"formattedCitation":"\\super [3]\\nosupersub{}","plainCitation":"[3]","noteIndex":0},"citationItems":[{"id":1253,"uris":["http://zotero.org/users/18282877/items/7JYSP537"],"itemData":{"id":1253,"type":"article-journal","abstract":"Understanding cellular responses to genetic perturbation is central to numerous biomedical applications, from identifying genetic interactions involved in cancer to developing methods for regenerative medicine. However, the combinatorial explosion in the number of possible multigene perturbations severely limits experimental interrogation. Here, we present graph-enhanced gene activation and repression simulator (GEARS), a method that integrates deep learning with a knowledge graph of gene–gene relationships to predict transcriptional responses to both single and multigene perturbations using single-cell RNA-sequencing data from perturbational screens. GEARS is able to predict outcomes of perturbing combinations consisting of genes that were never experimentally perturbed. GEARS exhibited 40% higher precision than existing approaches in predicting four distinct genetic interaction subtypes in a combinatorial perturbation screen and identified the strongest interactions twice as well as prior approaches. Overall, GEARS can predict phenotypically distinct effects of multigene perturbations and thus guide the design of perturbational experiments.","container-title":"Nature Biotechnology","DOI":"10.1038/s41587-023-01905-6","ISSN":"1546-1696","issue":"6","journalAbbreviation":"Nat Biotechnol","language":"en","license":"2023 The Author(s)","page":"927-935","publisher":"Nature Publishing Group","source":"www.nature.com","title":"Predicting transcriptional outcomes of novel multigene perturbations with GEARS","volume":"42","author":[{"family":"Roohani","given":"Yusuf"},{"family":"Huang","given":"Kexin"},{"family":"Leskovec","given":"Jure"}],"issued":{"date-parts":[["2024",6]]}}}],"schema":"https://github.com/citation-style-language/schema/raw/master/csl-citation.json"} </w:instrText>
      </w:r>
      <w:r>
        <w:rPr>
          <w:rFonts w:hint="eastAsia"/>
        </w:rPr>
        <w:fldChar w:fldCharType="separate"/>
      </w:r>
      <w:r>
        <w:rPr>
          <w:rFonts w:cs="Times New Roman"/>
          <w:vertAlign w:val="superscript"/>
        </w:rPr>
        <w:t>[3]</w:t>
      </w:r>
      <w:r>
        <w:rPr>
          <w:rFonts w:hint="eastAsia"/>
        </w:rPr>
        <w:fldChar w:fldCharType="end"/>
      </w:r>
      <w:r>
        <w:rPr>
          <w:rFonts w:hint="eastAsia"/>
        </w:rPr>
        <w:t>，默认所有基因权重均为1：</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7"/>
        <w:gridCol w:w="4834"/>
        <w:gridCol w:w="1805"/>
      </w:tblGrid>
      <w:tr w14:paraId="7B74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7" w:type="dxa"/>
          </w:tcPr>
          <w:p w14:paraId="63CE0240">
            <w:pPr>
              <w:pStyle w:val="6"/>
              <w:ind w:firstLine="0"/>
              <w:rPr>
                <w:rFonts w:hint="eastAsia"/>
              </w:rPr>
            </w:pPr>
          </w:p>
        </w:tc>
        <w:tc>
          <w:tcPr>
            <w:tcW w:w="4834" w:type="dxa"/>
          </w:tcPr>
          <w:p w14:paraId="0EDF3271">
            <w:pPr>
              <w:pStyle w:val="6"/>
              <w:ind w:firstLine="0"/>
              <w:jc w:val="both"/>
              <w:rPr>
                <w:rFonts w:hint="eastAsia"/>
              </w:rPr>
            </w:pPr>
            <m:oMathPara>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MSE</m:t>
                    </m:r>
                    <m:ctrlPr>
                      <w:rPr>
                        <w:rFonts w:ascii="Cambria Math" w:hAnsi="Cambria Math"/>
                      </w:rPr>
                    </m:ctrlPr>
                  </m:sub>
                </m:sSub>
                <m:r>
                  <m:rPr/>
                  <w:rPr>
                    <w:rFonts w:ascii="Cambria Math"/>
                  </w:rPr>
                  <m:t>=</m:t>
                </m:r>
                <m:f>
                  <m:fPr>
                    <m:ctrlPr>
                      <w:rPr>
                        <w:rFonts w:ascii="Cambria Math" w:hAnsi="Cambria Math"/>
                      </w:rPr>
                    </m:ctrlPr>
                  </m:fPr>
                  <m:num>
                    <m:r>
                      <m:rPr/>
                      <w:rPr>
                        <w:rFonts w:ascii="Cambria Math"/>
                      </w:rPr>
                      <m:t>1</m:t>
                    </m:r>
                    <m:ctrlPr>
                      <w:rPr>
                        <w:rFonts w:ascii="Cambria Math" w:hAnsi="Cambria Math"/>
                      </w:rPr>
                    </m:ctrlPr>
                  </m:num>
                  <m:den>
                    <m:r>
                      <m:rPr/>
                      <w:rPr>
                        <w:rFonts w:ascii="Cambria Math"/>
                      </w:rPr>
                      <m:t>B</m:t>
                    </m:r>
                    <m:ctrlPr>
                      <w:rPr>
                        <w:rFonts w:ascii="Cambria Math" w:hAnsi="Cambria Math"/>
                      </w:rPr>
                    </m:ctrlPr>
                  </m:den>
                </m:f>
                <m:nary>
                  <m:naryPr>
                    <m:chr m:val="∑"/>
                    <m:limLoc m:val="subSup"/>
                    <m:ctrlPr>
                      <w:rPr>
                        <w:rFonts w:ascii="Cambria Math" w:hAnsi="Cambria Math"/>
                      </w:rPr>
                    </m:ctrlPr>
                  </m:naryPr>
                  <m:sub>
                    <m:r>
                      <m:rPr/>
                      <w:rPr>
                        <w:rFonts w:ascii="Cambria Math"/>
                      </w:rPr>
                      <m:t>i=1</m:t>
                    </m:r>
                    <m:ctrlPr>
                      <w:rPr>
                        <w:rFonts w:ascii="Cambria Math" w:hAnsi="Cambria Math"/>
                      </w:rPr>
                    </m:ctrlPr>
                  </m:sub>
                  <m:sup>
                    <m:r>
                      <m:rPr/>
                      <w:rPr>
                        <w:rFonts w:ascii="Cambria Math"/>
                      </w:rPr>
                      <m:t>B</m:t>
                    </m:r>
                    <m:ctrlPr>
                      <w:rPr>
                        <w:rFonts w:ascii="Cambria Math" w:hAnsi="Cambria Math"/>
                      </w:rPr>
                    </m:ctrlPr>
                  </m:sup>
                  <m:e>
                    <m:f>
                      <m:fPr>
                        <m:ctrlPr>
                          <w:rPr>
                            <w:rFonts w:ascii="Cambria Math" w:hAnsi="Cambria Math"/>
                          </w:rPr>
                        </m:ctrlPr>
                      </m:fPr>
                      <m:num>
                        <m:nary>
                          <m:naryPr>
                            <m:chr m:val="∑"/>
                            <m:limLoc m:val="subSup"/>
                            <m:ctrlPr>
                              <w:rPr>
                                <w:rFonts w:ascii="Cambria Math" w:hAnsi="Cambria Math"/>
                              </w:rPr>
                            </m:ctrlPr>
                          </m:naryPr>
                          <m:sub>
                            <m:r>
                              <m:rPr/>
                              <w:rPr>
                                <w:rFonts w:ascii="Cambria Math"/>
                              </w:rPr>
                              <m:t>j=1</m:t>
                            </m:r>
                            <m:ctrlPr>
                              <w:rPr>
                                <w:rFonts w:ascii="Cambria Math" w:hAnsi="Cambria Math"/>
                              </w:rPr>
                            </m:ctrlPr>
                          </m:sub>
                          <m:sup>
                            <m:r>
                              <m:rPr/>
                              <w:rPr>
                                <w:rFonts w:ascii="Cambria Math"/>
                              </w:rPr>
                              <m:t>G</m:t>
                            </m:r>
                            <m:ctrlPr>
                              <w:rPr>
                                <w:rFonts w:ascii="Cambria Math" w:hAnsi="Cambria Math"/>
                              </w:rPr>
                            </m:ctrlPr>
                          </m:sup>
                          <m:e>
                            <m:sSub>
                              <m:sSubPr>
                                <m:ctrlPr>
                                  <w:rPr>
                                    <w:rFonts w:ascii="Cambria Math" w:hAnsi="Cambria Math"/>
                                  </w:rPr>
                                </m:ctrlPr>
                              </m:sSubPr>
                              <m:e>
                                <m:r>
                                  <m:rPr/>
                                  <w:rPr>
                                    <w:rFonts w:ascii="Cambria Math"/>
                                  </w:rPr>
                                  <m:t>w</m:t>
                                </m:r>
                                <m:ctrlPr>
                                  <w:rPr>
                                    <w:rFonts w:ascii="Cambria Math" w:hAnsi="Cambria Math"/>
                                  </w:rPr>
                                </m:ctrlPr>
                              </m:e>
                              <m:sub>
                                <m:sSub>
                                  <m:sSubPr>
                                    <m:ctrlPr>
                                      <w:rPr>
                                        <w:rFonts w:ascii="Cambria Math" w:hAnsi="Cambria Math"/>
                                      </w:rPr>
                                    </m:ctrlPr>
                                  </m:sSubPr>
                                  <m:e>
                                    <m:r>
                                      <m:rPr/>
                                      <w:rPr>
                                        <w:rFonts w:ascii="Cambria Math"/>
                                      </w:rPr>
                                      <m:t>p</m:t>
                                    </m:r>
                                    <m:ctrlPr>
                                      <w:rPr>
                                        <w:rFonts w:ascii="Cambria Math" w:hAnsi="Cambria Math"/>
                                      </w:rPr>
                                    </m:ctrlPr>
                                  </m:e>
                                  <m:sub>
                                    <m:r>
                                      <m:rPr/>
                                      <w:rPr>
                                        <w:rFonts w:ascii="Cambria Math"/>
                                      </w:rPr>
                                      <m:t>i</m:t>
                                    </m:r>
                                    <m:ctrlPr>
                                      <w:rPr>
                                        <w:rFonts w:ascii="Cambria Math" w:hAnsi="Cambria Math"/>
                                      </w:rPr>
                                    </m:ctrlPr>
                                  </m:sub>
                                </m:sSub>
                                <m:r>
                                  <m:rPr/>
                                  <w:rPr>
                                    <w:rFonts w:ascii="Cambria Math"/>
                                  </w:rPr>
                                  <m:t>,j</m:t>
                                </m:r>
                                <m:ctrlPr>
                                  <w:rPr>
                                    <w:rFonts w:ascii="Cambria Math" w:hAnsi="Cambria Math"/>
                                  </w:rPr>
                                </m:ctrlPr>
                              </m:sub>
                            </m:sSub>
                            <m:ctrlPr>
                              <w:rPr>
                                <w:rFonts w:ascii="Cambria Math" w:hAnsi="Cambria Math"/>
                              </w:rPr>
                            </m:ctrlP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rPr>
                                          <m:t>x</m:t>
                                        </m:r>
                                        <m:ctrlPr>
                                          <w:rPr>
                                            <w:rFonts w:ascii="Cambria Math" w:hAnsi="Cambria Math"/>
                                          </w:rPr>
                                        </m:ctrlPr>
                                      </m:e>
                                    </m:acc>
                                    <m:ctrlPr>
                                      <w:rPr>
                                        <w:rFonts w:ascii="Cambria Math" w:hAnsi="Cambria Math"/>
                                      </w:rPr>
                                    </m:ctrlPr>
                                  </m:e>
                                  <m:sub>
                                    <m:r>
                                      <m:rPr/>
                                      <w:rPr>
                                        <w:rFonts w:ascii="Cambria Math"/>
                                      </w:rPr>
                                      <m:t>i,0,j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x</m:t>
                                    </m:r>
                                    <m:ctrlPr>
                                      <w:rPr>
                                        <w:rFonts w:ascii="Cambria Math" w:hAnsi="Cambria Math"/>
                                      </w:rPr>
                                    </m:ctrlPr>
                                  </m:e>
                                  <m:sub>
                                    <m:r>
                                      <m:rPr/>
                                      <w:rPr>
                                        <w:rFonts w:ascii="Cambria Math"/>
                                      </w:rPr>
                                      <m:t>i,0,j</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rPr>
                              <m:t>2</m:t>
                            </m:r>
                            <m:ctrlPr>
                              <w:rPr>
                                <w:rFonts w:ascii="Cambria Math" w:hAnsi="Cambria Math"/>
                              </w:rPr>
                            </m:ctrlPr>
                          </m:sup>
                        </m:sSup>
                        <m:ctrlPr>
                          <w:rPr>
                            <w:rFonts w:ascii="Cambria Math" w:hAnsi="Cambria Math"/>
                          </w:rPr>
                        </m:ctrlPr>
                      </m:num>
                      <m:den>
                        <m:nary>
                          <m:naryPr>
                            <m:chr m:val="∑"/>
                            <m:limLoc m:val="subSup"/>
                            <m:ctrlPr>
                              <w:rPr>
                                <w:rFonts w:ascii="Cambria Math" w:hAnsi="Cambria Math"/>
                              </w:rPr>
                            </m:ctrlPr>
                          </m:naryPr>
                          <m:sub>
                            <m:r>
                              <m:rPr/>
                              <w:rPr>
                                <w:rFonts w:ascii="Cambria Math"/>
                              </w:rPr>
                              <m:t>j=1</m:t>
                            </m:r>
                            <m:ctrlPr>
                              <w:rPr>
                                <w:rFonts w:ascii="Cambria Math" w:hAnsi="Cambria Math"/>
                              </w:rPr>
                            </m:ctrlPr>
                          </m:sub>
                          <m:sup>
                            <m:r>
                              <m:rPr/>
                              <w:rPr>
                                <w:rFonts w:ascii="Cambria Math"/>
                              </w:rPr>
                              <m:t>G</m:t>
                            </m:r>
                            <m:ctrlPr>
                              <w:rPr>
                                <w:rFonts w:ascii="Cambria Math" w:hAnsi="Cambria Math"/>
                              </w:rPr>
                            </m:ctrlPr>
                          </m:sup>
                          <m:e>
                            <m:sSub>
                              <m:sSubPr>
                                <m:ctrlPr>
                                  <w:rPr>
                                    <w:rFonts w:ascii="Cambria Math" w:hAnsi="Cambria Math"/>
                                  </w:rPr>
                                </m:ctrlPr>
                              </m:sSubPr>
                              <m:e>
                                <m:r>
                                  <m:rPr/>
                                  <w:rPr>
                                    <w:rFonts w:ascii="Cambria Math"/>
                                  </w:rPr>
                                  <m:t>w</m:t>
                                </m:r>
                                <m:ctrlPr>
                                  <w:rPr>
                                    <w:rFonts w:ascii="Cambria Math" w:hAnsi="Cambria Math"/>
                                  </w:rPr>
                                </m:ctrlPr>
                              </m:e>
                              <m:sub>
                                <m:sSub>
                                  <m:sSubPr>
                                    <m:ctrlPr>
                                      <w:rPr>
                                        <w:rFonts w:ascii="Cambria Math" w:hAnsi="Cambria Math"/>
                                      </w:rPr>
                                    </m:ctrlPr>
                                  </m:sSubPr>
                                  <m:e>
                                    <m:r>
                                      <m:rPr/>
                                      <w:rPr>
                                        <w:rFonts w:ascii="Cambria Math"/>
                                      </w:rPr>
                                      <m:t>p</m:t>
                                    </m:r>
                                    <m:ctrlPr>
                                      <w:rPr>
                                        <w:rFonts w:ascii="Cambria Math" w:hAnsi="Cambria Math"/>
                                      </w:rPr>
                                    </m:ctrlPr>
                                  </m:e>
                                  <m:sub>
                                    <m:r>
                                      <m:rPr/>
                                      <w:rPr>
                                        <w:rFonts w:ascii="Cambria Math"/>
                                      </w:rPr>
                                      <m:t>i</m:t>
                                    </m:r>
                                    <m:ctrlPr>
                                      <w:rPr>
                                        <w:rFonts w:ascii="Cambria Math" w:hAnsi="Cambria Math"/>
                                      </w:rPr>
                                    </m:ctrlPr>
                                  </m:sub>
                                </m:sSub>
                                <m:r>
                                  <m:rPr/>
                                  <w:rPr>
                                    <w:rFonts w:ascii="Cambria Math"/>
                                  </w:rPr>
                                  <m:t>,j</m:t>
                                </m:r>
                                <m:ctrlPr>
                                  <w:rPr>
                                    <w:rFonts w:ascii="Cambria Math" w:hAnsi="Cambria Math"/>
                                  </w:rPr>
                                </m:ctrlPr>
                              </m:sub>
                            </m:sSub>
                            <m:ctrlPr>
                              <w:rPr>
                                <w:rFonts w:ascii="Cambria Math" w:hAnsi="Cambria Math"/>
                              </w:rPr>
                            </m:ctrlPr>
                          </m:e>
                        </m:nary>
                        <m:ctrlPr>
                          <w:rPr>
                            <w:rFonts w:ascii="Cambria Math" w:hAnsi="Cambria Math"/>
                          </w:rPr>
                        </m:ctrlPr>
                      </m:den>
                    </m:f>
                    <m:ctrlPr>
                      <w:rPr>
                        <w:rFonts w:ascii="Cambria Math" w:hAnsi="Cambria Math"/>
                      </w:rPr>
                    </m:ctrlPr>
                  </m:e>
                </m:nary>
                <m:r>
                  <m:rPr/>
                  <w:rPr>
                    <w:rFonts w:ascii="Cambria Math"/>
                  </w:rPr>
                  <m:t>,</m:t>
                </m:r>
              </m:oMath>
            </m:oMathPara>
          </w:p>
        </w:tc>
        <w:tc>
          <w:tcPr>
            <w:tcW w:w="1805" w:type="dxa"/>
          </w:tcPr>
          <w:p w14:paraId="6E1439B6">
            <w:pPr>
              <w:pStyle w:val="6"/>
              <w:ind w:firstLine="0"/>
              <w:jc w:val="right"/>
              <w:rPr>
                <w:rFonts w:hint="eastAsia"/>
              </w:rPr>
            </w:pPr>
            <w:r>
              <w:rPr>
                <w:rStyle w:val="19"/>
                <w:rFonts w:hint="eastAsia"/>
              </w:rPr>
              <w:t>(9)</w:t>
            </w:r>
          </w:p>
        </w:tc>
      </w:tr>
    </w:tbl>
    <w:p w14:paraId="4E2A4D82">
      <w:pPr>
        <w:ind w:firstLine="480" w:firstLineChars="200"/>
        <w:rPr>
          <w:rFonts w:hint="eastAsia"/>
        </w:rPr>
      </w:pPr>
      <w:r>
        <w:t>其中</w:t>
      </w:r>
      <w:r>
        <w:rPr>
          <w:rFonts w:hint="eastAsia"/>
        </w:rPr>
        <w:t>B为批次大小，G为基因数。</w:t>
      </w:r>
    </w:p>
    <w:p w14:paraId="53011187">
      <w:pPr>
        <w:pStyle w:val="4"/>
        <w:rPr>
          <w:rFonts w:hint="eastAsia"/>
        </w:rPr>
      </w:pPr>
      <w:r>
        <w:rPr>
          <w:rFonts w:hint="eastAsia"/>
        </w:rPr>
        <w:t>3.2 sgRNA方向对齐</w:t>
      </w:r>
    </w:p>
    <w:p w14:paraId="1F8F3BC5">
      <w:pPr>
        <w:pStyle w:val="6"/>
        <w:rPr>
          <w:rFonts w:hint="eastAsia"/>
        </w:rPr>
      </w:pPr>
      <w:r>
        <w:rPr>
          <w:rFonts w:hint="eastAsia"/>
        </w:rPr>
        <w:t>当同一个靶基因对应多条sgRNA时，为了让同一靶基因的不同嵌入有相近方向，同时保留不同的幅度，加入方向对齐损失</w:t>
      </w:r>
      <w:r>
        <w:rPr>
          <w:rFonts w:hint="eastAsia"/>
        </w:rPr>
        <w:fldChar w:fldCharType="begin"/>
      </w:r>
      <w:r>
        <w:rPr>
          <w:rFonts w:hint="eastAsia"/>
        </w:rPr>
        <w:instrText xml:space="preserve"> ADDIN ZOTERO_ITEM CSL_CITATION {"citationID":"UeOSBzvU","properties":{"unsorted":false,"formattedCitation":"\\super [4]\\nosupersub{}","plainCitation":"[4]","noteIndex":0},"citationItems":[{"id":1315,"uris":["http://zotero.org/users/18282877/items/4V6UE2I7"],"itemData":{"id":1315,"type":"webpage","abstract":"Feature matters. How to train a deep network to acquire discriminative features across categories and polymerized features within classes has always been at the core of many computer vision tasks, specially for large-scale recognition systems where test identities are unseen during training and the number of classes could be at million scale. In this paper, we address this problem based on the simple intuition that the cosine distance of features in high-dimensional space should be close enough within one class and far away across categories. To this end, we proposed the congenerous cosine (COCO) algorithm to simultaneously optimize the cosine similarity among data. It inherits the softmax property to make inter-class features discriminative as well as shares the idea of class centroid in metric learning. Unlike previous work where the center is a temporal, statistical variable within one mini-batch during training, the formulated centroid is responsible for clustering inner-class features to enforce them polymerized around the network truncus. COCO is bundled with discriminative training and learned end-to-end with stable convergence. Experiments on five benchmarks have been extensively conducted to verify the effectiveness of our approach on both small-scale classification task and large-scale human recognition problem.","container-title":"arXiv.org","language":"en","title":"Rethinking Feature Discrimination and Polymerization for Large-scale Recognition","URL":"https://arxiv.org/abs/1710.00870v2","author":[{"family":"Liu","given":"Yu"},{"family":"Li","given":"Hongyang"},{"family":"Wang","given":"Xiaogang"}],"accessed":{"date-parts":[["2026",6,2]]},"issued":{"date-parts":[["2017",10,2]]}}}],"schema":"https://github.com/citation-style-language/schema/raw/master/csl-citation.json"} </w:instrText>
      </w:r>
      <w:r>
        <w:rPr>
          <w:rFonts w:hint="eastAsia"/>
        </w:rPr>
        <w:fldChar w:fldCharType="separate"/>
      </w:r>
      <w:r>
        <w:rPr>
          <w:rFonts w:cs="Times New Roman"/>
          <w:vertAlign w:val="superscript"/>
        </w:rPr>
        <w:t>[4]</w:t>
      </w:r>
      <w:r>
        <w:rPr>
          <w:rFonts w:hint="eastAsia"/>
        </w:rPr>
        <w:fldChar w:fldCharType="end"/>
      </w:r>
      <w:r>
        <w:rPr>
          <w:rFonts w:hint="eastAsia"/>
        </w:rPr>
        <w:t>。对批次内属于同一靶基因的sgRNA，计算其扰动向量两两之间的余弦相似度：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
        <w:gridCol w:w="6966"/>
        <w:gridCol w:w="696"/>
      </w:tblGrid>
      <w:tr w14:paraId="693C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Borders>
              <w:top w:val="nil"/>
              <w:left w:val="nil"/>
              <w:bottom w:val="nil"/>
              <w:right w:val="nil"/>
            </w:tcBorders>
          </w:tcPr>
          <w:p w14:paraId="6240BED4">
            <w:pPr>
              <w:pStyle w:val="6"/>
              <w:rPr>
                <w:rFonts w:hint="eastAsia"/>
              </w:rPr>
            </w:pPr>
          </w:p>
        </w:tc>
        <w:tc>
          <w:tcPr>
            <w:tcW w:w="7258" w:type="dxa"/>
            <w:tcBorders>
              <w:top w:val="nil"/>
              <w:left w:val="nil"/>
              <w:bottom w:val="nil"/>
              <w:right w:val="nil"/>
            </w:tcBorders>
          </w:tcPr>
          <w:p w14:paraId="13295A98">
            <w:pPr>
              <w:pStyle w:val="6"/>
              <w:rPr>
                <w:rFonts w:hint="eastAsia"/>
              </w:rPr>
            </w:pPr>
            <m:oMathPara>
              <m:oMath>
                <m:func>
                  <m:funcPr>
                    <m:ctrlPr>
                      <w:rPr>
                        <w:rFonts w:ascii="Cambria Math" w:hAnsi="Cambria Math"/>
                      </w:rPr>
                    </m:ctrlPr>
                  </m:funcPr>
                  <m:fName>
                    <m:r>
                      <m:rPr>
                        <m:sty m:val="p"/>
                      </m:rPr>
                      <w:rPr>
                        <w:rFonts w:ascii="Cambria Math"/>
                      </w:rPr>
                      <m:t>cos</m:t>
                    </m:r>
                    <m:ctrlPr>
                      <w:rPr>
                        <w:rFonts w:ascii="Cambria Math" w:hAnsi="Cambria Math"/>
                      </w:rPr>
                    </m:ctrlPr>
                  </m:fName>
                  <m:e>
                    <m:r>
                      <m:rPr/>
                      <w:rPr>
                        <w:rFonts w:ascii="Cambria Math"/>
                      </w:rPr>
                      <m:t>(</m:t>
                    </m:r>
                    <m:ctrlPr>
                      <w:rPr>
                        <w:rFonts w:ascii="Cambria Math" w:hAnsi="Cambria Math"/>
                      </w:rPr>
                    </m:ctrlPr>
                  </m:e>
                </m:func>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Sub>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r>
                  <m:rPr/>
                  <w:rPr>
                    <w:rFonts w:asci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up>
                        <m:r>
                          <m:rPr/>
                          <w:rPr>
                            <w:rFonts w:ascii="Cambria Math"/>
                          </w:rPr>
                          <m:t>⊤</m:t>
                        </m:r>
                        <m:ctrlPr>
                          <w:rPr>
                            <w:rFonts w:ascii="Cambria Math" w:hAnsi="Cambria Math"/>
                          </w:rPr>
                        </m:ctrlPr>
                      </m:sup>
                    </m:sSubSup>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ctrlPr>
                      <w:rPr>
                        <w:rFonts w:ascii="Cambria Math" w:hAnsi="Cambria Math"/>
                      </w:rPr>
                    </m:ctrlPr>
                  </m:num>
                  <m:den>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ctrlPr>
                      <w:rPr>
                        <w:rFonts w:ascii="Cambria Math" w:hAnsi="Cambria Math"/>
                      </w:rPr>
                    </m:ctrlPr>
                  </m:den>
                </m:f>
                <m:r>
                  <m:rPr/>
                  <w:rPr>
                    <w:rFonts w:ascii="Cambria Math"/>
                  </w:rPr>
                  <m:t>.</m:t>
                </m:r>
              </m:oMath>
            </m:oMathPara>
          </w:p>
        </w:tc>
        <w:tc>
          <w:tcPr>
            <w:tcW w:w="611" w:type="dxa"/>
            <w:tcBorders>
              <w:top w:val="nil"/>
              <w:left w:val="nil"/>
              <w:bottom w:val="nil"/>
              <w:right w:val="nil"/>
            </w:tcBorders>
          </w:tcPr>
          <w:p w14:paraId="4F864039">
            <w:pPr>
              <w:pStyle w:val="6"/>
              <w:ind w:firstLine="0"/>
              <w:jc w:val="right"/>
              <w:rPr>
                <w:rFonts w:hint="eastAsia"/>
              </w:rPr>
            </w:pPr>
            <w:r>
              <w:rPr>
                <w:rStyle w:val="19"/>
                <w:rFonts w:hint="eastAsia"/>
              </w:rPr>
              <w:t>(10)</w:t>
            </w:r>
          </w:p>
        </w:tc>
      </w:tr>
    </w:tbl>
    <w:p w14:paraId="6C9F33E3">
      <w:pPr>
        <w:pStyle w:val="6"/>
        <w:rPr>
          <w:rFonts w:hAnsi="Cambria Math"/>
        </w:rPr>
      </w:pPr>
      <w:r>
        <w:rPr>
          <w:rFonts w:hint="eastAsia"/>
        </w:rPr>
        <w:t>给定约束边际m，方向对齐损失为：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6967"/>
        <w:gridCol w:w="696"/>
      </w:tblGrid>
      <w:tr w14:paraId="3C1C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Borders>
              <w:top w:val="nil"/>
              <w:left w:val="nil"/>
              <w:bottom w:val="nil"/>
              <w:right w:val="nil"/>
            </w:tcBorders>
          </w:tcPr>
          <w:p w14:paraId="0B3D6F39">
            <w:pPr>
              <w:pStyle w:val="6"/>
              <w:rPr>
                <w:rFonts w:hint="eastAsia"/>
              </w:rPr>
            </w:pPr>
          </w:p>
        </w:tc>
        <w:tc>
          <w:tcPr>
            <w:tcW w:w="7258" w:type="dxa"/>
            <w:tcBorders>
              <w:top w:val="nil"/>
              <w:left w:val="nil"/>
              <w:bottom w:val="nil"/>
              <w:right w:val="nil"/>
            </w:tcBorders>
          </w:tcPr>
          <w:p w14:paraId="447361B9">
            <w:pPr>
              <w:pStyle w:val="6"/>
              <w:rPr>
                <w:rFonts w:hAnsi="Cambria Math"/>
              </w:rPr>
            </w:pPr>
            <m:oMathPara>
              <m:oMath>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dir</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t>
                    </m:r>
                    <m:r>
                      <m:rPr>
                        <m:scr m:val="script"/>
                      </m:rPr>
                      <w:rPr>
                        <w:rFonts w:ascii="Cambria Math" w:hAnsi="Cambria Math" w:eastAsia="MS Mincho"/>
                      </w:rPr>
                      <m:t>P</m:t>
                    </m:r>
                    <m:r>
                      <m:rPr/>
                      <w:rPr>
                        <w:rFonts w:ascii="Cambria Math" w:hAnsi="Cambria Math"/>
                      </w:rPr>
                      <m:t>|</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(a,b)∈</m:t>
                    </m:r>
                    <m:r>
                      <m:rPr>
                        <m:scr m:val="script"/>
                      </m:rPr>
                      <w:rPr>
                        <w:rFonts w:ascii="Cambria Math" w:hAnsi="Cambria Math" w:eastAsia="MS Mincho"/>
                      </w:rPr>
                      <m:t>P</m:t>
                    </m:r>
                    <m:ctrlPr>
                      <w:rPr>
                        <w:rFonts w:ascii="Cambria Math" w:hAnsi="Cambria Math"/>
                      </w:rPr>
                    </m:ctrlPr>
                  </m:sub>
                  <m:sup>
                    <m:ctrlPr>
                      <w:rPr>
                        <w:rFonts w:ascii="Cambria Math" w:hAnsi="Cambria Math"/>
                      </w:rPr>
                    </m:ctrlPr>
                  </m:sup>
                  <m:e>
                    <m:r>
                      <m:rPr/>
                      <w:rPr>
                        <w:rFonts w:ascii="Cambria Math" w:hAnsi="Cambria Math"/>
                      </w:rPr>
                      <m:t>max</m:t>
                    </m:r>
                    <m:ctrlPr>
                      <w:rPr>
                        <w:rFonts w:ascii="Cambria Math" w:hAnsi="Cambria Math"/>
                      </w:rPr>
                    </m:ctrlPr>
                  </m:e>
                </m:nary>
                <m:r>
                  <m:rPr/>
                  <w:rPr>
                    <w:rFonts w:ascii="Cambria Math" w:hAnsi="Cambria Math"/>
                  </w:rPr>
                  <m:t>(0,m−</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m:sty m:val="bi"/>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m:sty m:val="bi"/>
                      </m:rPr>
                      <w:rPr>
                        <w:rFonts w:ascii="Cambria Math" w:hAnsi="Cambria Math"/>
                      </w:rPr>
                      <m:t>δ</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oMath>
            </m:oMathPara>
          </w:p>
        </w:tc>
        <w:tc>
          <w:tcPr>
            <w:tcW w:w="611" w:type="dxa"/>
            <w:tcBorders>
              <w:top w:val="nil"/>
              <w:left w:val="nil"/>
              <w:bottom w:val="nil"/>
              <w:right w:val="nil"/>
            </w:tcBorders>
          </w:tcPr>
          <w:p w14:paraId="27809E52">
            <w:pPr>
              <w:pStyle w:val="6"/>
              <w:ind w:firstLine="0"/>
              <w:jc w:val="right"/>
              <w:rPr>
                <w:rFonts w:hint="eastAsia"/>
              </w:rPr>
            </w:pPr>
            <w:r>
              <w:rPr>
                <w:rStyle w:val="19"/>
                <w:rFonts w:hint="eastAsia"/>
              </w:rPr>
              <w:t>(11)</w:t>
            </w:r>
          </w:p>
        </w:tc>
      </w:tr>
    </w:tbl>
    <w:p w14:paraId="23C506BB">
      <w:pPr>
        <w:ind w:firstLine="480" w:firstLineChars="200"/>
        <w:rPr>
          <w:rFonts w:hint="eastAsia"/>
        </w:rPr>
      </w:pPr>
      <w:r>
        <w:rPr>
          <w:rFonts w:hint="eastAsia"/>
        </w:rPr>
        <w:t xml:space="preserve">其中P是批次内同靶标基因、非对照sgRNA对集合。该项只约束方向，不直接约束 </w:t>
      </w:r>
      <m:oMath>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g</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oMath>
      <w:r>
        <w:rPr>
          <w:rFonts w:hint="eastAsia"/>
        </w:rPr>
        <w:t xml:space="preserve"> 。因此在方向拉近后，嵌入向量的模长可以承载相同基因靶标下不同sgRNA的扰动强弱差异信息。</w:t>
      </w:r>
    </w:p>
    <w:p w14:paraId="5E700459">
      <w:pPr>
        <w:pStyle w:val="4"/>
        <w:rPr>
          <w:rFonts w:hint="eastAsia"/>
        </w:rPr>
      </w:pPr>
      <w:r>
        <w:rPr>
          <w:rFonts w:hint="eastAsia"/>
        </w:rPr>
        <w:t>3.5 总损失</w:t>
      </w:r>
    </w:p>
    <w:p w14:paraId="0A63C298">
      <w:pPr>
        <w:pStyle w:val="6"/>
        <w:rPr>
          <w:rFonts w:hint="eastAsia"/>
        </w:rPr>
      </w:pPr>
      <w:r>
        <w:rPr>
          <w:rFonts w:hint="eastAsia"/>
        </w:rPr>
        <w:t>完整的损失函数将这些项乘上加权超参数再求和：</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6859"/>
        <w:gridCol w:w="791"/>
      </w:tblGrid>
      <w:tr w14:paraId="3EA9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Borders>
              <w:top w:val="nil"/>
              <w:left w:val="nil"/>
              <w:bottom w:val="nil"/>
              <w:right w:val="nil"/>
            </w:tcBorders>
          </w:tcPr>
          <w:p w14:paraId="48CBD5EA">
            <w:pPr>
              <w:pStyle w:val="6"/>
              <w:rPr>
                <w:rFonts w:hint="eastAsia"/>
              </w:rPr>
            </w:pPr>
          </w:p>
        </w:tc>
        <w:tc>
          <w:tcPr>
            <w:tcW w:w="7067" w:type="dxa"/>
            <w:tcBorders>
              <w:top w:val="nil"/>
              <w:left w:val="nil"/>
              <w:bottom w:val="nil"/>
              <w:right w:val="nil"/>
            </w:tcBorders>
          </w:tcPr>
          <w:p w14:paraId="6832B37B">
            <w:pPr>
              <w:pStyle w:val="6"/>
              <w:jc w:val="center"/>
              <w:rPr>
                <w:rFonts w:hint="eastAsia"/>
              </w:rPr>
            </w:pPr>
            <m:oMath>
              <m:r>
                <m:rPr>
                  <m:scr m:val="script"/>
                </m:rPr>
                <w:rPr>
                  <w:rFonts w:ascii="Cambria Math"/>
                </w:rPr>
                <m:t>ℒ</m:t>
              </m:r>
              <m:r>
                <m:rPr/>
                <w:rPr>
                  <w:rFonts w:ascii="Cambria Math"/>
                </w:rPr>
                <m:t>=</m:t>
              </m:r>
              <m:sSub>
                <m:sSubPr>
                  <m:ctrlPr>
                    <w:rPr>
                      <w:rFonts w:ascii="Cambria Math" w:hAnsi="Cambria Math"/>
                    </w:rPr>
                  </m:ctrlPr>
                </m:sSubPr>
                <m:e>
                  <m:r>
                    <m:rPr>
                      <m:scr m:val="script"/>
                    </m:rPr>
                    <w:rPr>
                      <w:rFonts w:ascii="Cambria Math"/>
                    </w:rPr>
                    <m:t>ℒ</m:t>
                  </m:r>
                  <m:ctrlPr>
                    <w:rPr>
                      <w:rFonts w:ascii="Cambria Math" w:hAnsi="Cambria Math"/>
                    </w:rPr>
                  </m:ctrlPr>
                </m:e>
                <m:sub>
                  <m:r>
                    <m:rPr>
                      <m:sty m:val="p"/>
                    </m:rPr>
                    <w:rPr>
                      <w:rFonts w:ascii="Cambria Math"/>
                    </w:rPr>
                    <m:t>diff</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m:sty m:val="p"/>
                    </m:rPr>
                    <w:rPr>
                      <w:rFonts w:ascii="Cambria Math"/>
                    </w:rPr>
                    <m:t>dir</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m:sty m:val="p"/>
                    </m:rPr>
                    <w:rPr>
                      <w:rFonts w:ascii="Cambria Math"/>
                    </w:rPr>
                    <m:t>dir</m:t>
                  </m:r>
                  <m:ctrlPr>
                    <w:rPr>
                      <w:rFonts w:ascii="Cambria Math" w:hAnsi="Cambria Math"/>
                    </w:rPr>
                  </m:ctrlPr>
                </m:sub>
              </m:sSub>
            </m:oMath>
            <w:r>
              <w:rPr>
                <w:rFonts w:hint="eastAsia" w:hAnsi="Cambria Math"/>
              </w:rPr>
              <w:t>.</w:t>
            </w:r>
          </w:p>
        </w:tc>
        <w:tc>
          <w:tcPr>
            <w:tcW w:w="794" w:type="dxa"/>
            <w:tcBorders>
              <w:top w:val="nil"/>
              <w:left w:val="nil"/>
              <w:bottom w:val="nil"/>
              <w:right w:val="nil"/>
            </w:tcBorders>
          </w:tcPr>
          <w:p w14:paraId="167044A2">
            <w:pPr>
              <w:pStyle w:val="6"/>
              <w:ind w:firstLine="0"/>
              <w:jc w:val="right"/>
              <w:rPr>
                <w:rFonts w:hint="eastAsia"/>
              </w:rPr>
            </w:pPr>
            <w:r>
              <w:rPr>
                <w:rStyle w:val="19"/>
                <w:rFonts w:hint="eastAsia"/>
              </w:rPr>
              <w:t>(12)</w:t>
            </w:r>
          </w:p>
        </w:tc>
      </w:tr>
    </w:tbl>
    <w:p w14:paraId="084D1920">
      <w:pPr>
        <w:pStyle w:val="6"/>
        <w:rPr>
          <w:rFonts w:hint="eastAsia"/>
        </w:rPr>
      </w:pPr>
      <w:r>
        <w:rPr>
          <w:rFonts w:hint="eastAsia"/>
        </w:rPr>
        <w:t>其中</w:t>
      </w:r>
      <m:oMath>
        <m:sSub>
          <m:sSubPr>
            <m:ctrlPr>
              <w:rPr>
                <w:rFonts w:ascii="Cambria Math" w:hAnsi="Cambria Math"/>
              </w:rPr>
            </m:ctrlPr>
          </m:sSubPr>
          <m:e>
            <m:r>
              <m:rPr/>
              <w:rPr>
                <w:rFonts w:ascii="Cambria Math"/>
              </w:rPr>
              <m:t>λ</m:t>
            </m:r>
            <m:ctrlPr>
              <w:rPr>
                <w:rFonts w:ascii="Cambria Math" w:hAnsi="Cambria Math"/>
              </w:rPr>
            </m:ctrlPr>
          </m:e>
          <m:sub>
            <m:r>
              <m:rPr>
                <m:sty m:val="p"/>
              </m:rPr>
              <w:rPr>
                <w:rFonts w:ascii="Cambria Math"/>
              </w:rPr>
              <m:t>dir</m:t>
            </m:r>
            <m:ctrlPr>
              <w:rPr>
                <w:rFonts w:ascii="Cambria Math" w:hAnsi="Cambria Math"/>
              </w:rPr>
            </m:ctrlPr>
          </m:sub>
        </m:sSub>
      </m:oMath>
      <w:r>
        <w:rPr>
          <w:rFonts w:hint="eastAsia"/>
        </w:rPr>
        <w:t>为方向对齐损失的权重超参数。</w:t>
      </w:r>
    </w:p>
    <w:p w14:paraId="0EAE7ED1">
      <w:pPr>
        <w:pStyle w:val="3"/>
        <w:rPr>
          <w:rFonts w:hint="eastAsia"/>
        </w:rPr>
      </w:pPr>
      <w:r>
        <w:rPr>
          <w:rFonts w:hint="eastAsia"/>
        </w:rPr>
        <w:t>4 数据集</w:t>
      </w:r>
    </w:p>
    <w:p w14:paraId="2D8FF927">
      <w:pPr>
        <w:pStyle w:val="4"/>
        <w:rPr>
          <w:rFonts w:hint="eastAsia"/>
        </w:rPr>
      </w:pPr>
      <w:r>
        <w:rPr>
          <w:rFonts w:hint="eastAsia"/>
        </w:rPr>
        <w:t>4.1 基本信息</w:t>
      </w:r>
    </w:p>
    <w:p w14:paraId="6F08C895">
      <w:pPr>
        <w:ind w:firstLine="480" w:firstLineChars="200"/>
        <w:rPr>
          <w:rFonts w:hint="eastAsia"/>
        </w:rPr>
      </w:pPr>
      <w:r>
        <w:rPr>
          <w:rFonts w:hint="eastAsia"/>
        </w:rPr>
        <w:t>GSE132080是人类K562细胞中的CRISPRi Perturb-seq数据。实验通过设计完全匹配以及不完全匹配的CRISPR guide RNA对一组必需基因进行不同程度的转录抑制，并在单细胞RNA-seq层面读取扰动后的转录组响应。原始表达矩阵包含23633个barcode和33694个基因。</w:t>
      </w:r>
    </w:p>
    <w:p w14:paraId="10ED8624">
      <w:pPr>
        <w:ind w:firstLine="480" w:firstLineChars="200"/>
        <w:rPr>
          <w:rFonts w:hint="eastAsia"/>
        </w:rPr>
      </w:pPr>
      <w:r>
        <w:rPr>
          <w:rFonts w:hint="eastAsia"/>
        </w:rPr>
        <w:t>metadata中的guide_identity共有139个不同标签：128个靶向sgRNA；10 个non-targeting / negative control sgRNA；1 个 * 标签表示未明确归属的细胞。</w:t>
      </w:r>
    </w:p>
    <w:p w14:paraId="4693587F">
      <w:pPr>
        <w:ind w:firstLine="480" w:firstLineChars="200"/>
        <w:rPr>
          <w:rFonts w:hint="eastAsia"/>
        </w:rPr>
      </w:pPr>
      <w:r>
        <w:rPr>
          <w:rFonts w:hint="eastAsia"/>
        </w:rPr>
        <w:t>靶向sgRNA覆盖25个靶向基因：ALDOA、ATP5E、BCR、CAD、CDC23、COX11、DBR1、DUT、EIF2S1、GATA1、GINS1、GNB2L1、HSPA5、HSPA9、HSPE1、MTOR、POLR1D、POLR2H、RAN、RPL9、RPS14、RPS15、RPS18、SEC61A1、TUBB。其中绝大多数靶向基因有5个sgRNA，BCR、GATA1和RPS14各有6个sgRNA。每个靶向基因有一个完全匹配的sgRNA，其他为不匹配sgRNA，因此形成不同的扰动强度。</w:t>
      </w:r>
    </w:p>
    <w:p w14:paraId="2D2C32C7">
      <w:pPr>
        <w:ind w:firstLine="480" w:firstLineChars="200"/>
        <w:rPr>
          <w:rFonts w:hint="eastAsia"/>
        </w:rPr>
      </w:pPr>
      <w:r>
        <w:rPr>
          <w:rFonts w:hint="eastAsia"/>
        </w:rPr>
        <w:t>研究者通过使用不同活性的错配 sgRNA，能够将目标基因的表达量控制在一个连续的范围内（从完全敲低到轻微下调）。单细胞数据显示，随着神经网络预测的sgRNA 活性的增加，目标基因表达量的中位数逐级下降（见图6a）。该数据集可以用来验证模型预测sgRNA活性的能力。</w:t>
      </w:r>
    </w:p>
    <w:p w14:paraId="37F6B6D8">
      <w:pPr>
        <w:ind w:firstLine="480" w:firstLineChars="200"/>
        <w:rPr>
          <w:rFonts w:hint="eastAsia"/>
        </w:rPr>
      </w:pPr>
      <w:r>
        <w:t>GSE257547是</w:t>
      </w:r>
      <w:r>
        <w:rPr>
          <w:rFonts w:hint="eastAsia"/>
        </w:rPr>
        <w:t>对</w:t>
      </w:r>
      <w:r>
        <w:t>人类K562细胞</w:t>
      </w:r>
      <w:r>
        <w:rPr>
          <w:rFonts w:hint="eastAsia"/>
        </w:rPr>
        <w:t>的</w:t>
      </w:r>
      <w:r>
        <w:t>ECCITE-seq</w:t>
      </w:r>
      <w:r>
        <w:rPr>
          <w:rFonts w:hint="eastAsia"/>
        </w:rPr>
        <w:t>数据。实验通过CRISPR guide RNA对四个靶向基因</w:t>
      </w:r>
      <w:r>
        <w:t>GFI1B、NFE2、MYB、TET2</w:t>
      </w:r>
      <w:r>
        <w:rPr>
          <w:rFonts w:hint="eastAsia"/>
        </w:rPr>
        <w:t>进行</w:t>
      </w:r>
      <w:r>
        <w:t>CRISPR激活与CRISPR抑制</w:t>
      </w:r>
      <w:r>
        <w:rPr>
          <w:rFonts w:hint="eastAsia"/>
        </w:rPr>
        <w:t>处理，再通过</w:t>
      </w:r>
      <w:r>
        <w:t>目标杂交捕获（Target hybridization）技术</w:t>
      </w:r>
      <w:r>
        <w:rPr>
          <w:rFonts w:hint="eastAsia"/>
        </w:rPr>
        <w:t>在单细胞水平</w:t>
      </w:r>
      <w:r>
        <w:t>捕获了94个选定的转录本，包括</w:t>
      </w:r>
      <w:r>
        <w:rPr>
          <w:rFonts w:hint="eastAsia"/>
        </w:rPr>
        <w:t>激活/抑制</w:t>
      </w:r>
      <w:r>
        <w:t>的4个转录因子、86个下</w:t>
      </w:r>
      <w:r>
        <w:rPr>
          <w:rFonts w:hint="eastAsia"/>
        </w:rPr>
        <w:t>游</w:t>
      </w:r>
      <w:r>
        <w:t>靶基因以及对照基因。原始表达矩阵包含</w:t>
      </w:r>
      <w:r>
        <w:rPr>
          <w:rFonts w:hint="eastAsia"/>
        </w:rPr>
        <w:t>16362</w:t>
      </w:r>
      <w:r>
        <w:t>个barcode和</w:t>
      </w:r>
      <w:r>
        <w:rPr>
          <w:rFonts w:hint="eastAsia"/>
        </w:rPr>
        <w:t>94</w:t>
      </w:r>
      <w:r>
        <w:t>个基因。其中下游转录响应网络分析主要聚焦于 GFI1B、NFE2 和 MYB 这 3 个与血细胞性状相关的核心转录因子。每个靶向基因并没有采用传统的不匹配</w:t>
      </w:r>
      <w:r>
        <w:rPr>
          <w:rFonts w:hint="eastAsia"/>
        </w:rPr>
        <w:t>设计</w:t>
      </w:r>
      <w:r>
        <w:t>，而是通过 TSS（转录起始位点）周边的平铺设计（Guide tiling）以及远端增强子靶向策略</w:t>
      </w:r>
      <w:r>
        <w:rPr>
          <w:rFonts w:hint="eastAsia"/>
        </w:rPr>
        <w:t>。</w:t>
      </w:r>
    </w:p>
    <w:p w14:paraId="6E172A21">
      <w:pPr>
        <w:ind w:firstLine="480" w:firstLineChars="200"/>
        <w:rPr>
          <w:rFonts w:hint="eastAsia"/>
        </w:rPr>
      </w:pPr>
      <w:r>
        <w:rPr>
          <w:rFonts w:hint="eastAsia"/>
        </w:rPr>
        <w:t>这篇研究中，</w:t>
      </w:r>
      <w:r>
        <w:t>作者使用了Sigmoid（S型）模型来拟合剂量反应，发现</w:t>
      </w:r>
      <w:r>
        <w:rPr>
          <w:rFonts w:hint="eastAsia"/>
          <w:lang w:eastAsia="zh"/>
        </w:rPr>
        <w:t xml:space="preserve"> </w:t>
      </w:r>
      <w:r>
        <w:t>数下游基因表现出显著的非线性响应。</w:t>
      </w:r>
      <w:r>
        <w:rPr>
          <w:rFonts w:hint="eastAsia"/>
        </w:rPr>
        <w:t>通过复现非线性响应结果，这个数据集可以用来验证模型捕捉不同sgRNA的不同扰动效果的能力。</w:t>
      </w:r>
      <w:r>
        <w:t>研究发现，当上游因子GFI1B表达降低时，TUBB1（导致巨血小板症的基因）的表达会迅速下降并达到一个平台期。这提出了一个假设：GFI1B 相关的血液疾病可能是通过调节TUBB1的剂量效应来实现的。</w:t>
      </w:r>
      <w:r>
        <w:rPr>
          <w:rFonts w:hint="eastAsia"/>
        </w:rPr>
        <w:t>通过识别不同的下游响应曲线（横坐标是预测的扰动强度，纵坐标为下游基因变化水平），验证模型产生新生物学发现的能力。</w:t>
      </w:r>
    </w:p>
    <w:p w14:paraId="5C5207F8">
      <w:pPr>
        <w:ind w:firstLine="480" w:firstLineChars="200"/>
        <w:rPr>
          <w:rFonts w:hint="eastAsia"/>
        </w:rPr>
      </w:pPr>
      <w:r>
        <w:t>GSE283614 是人类胚胎干细胞 (hESC) 以及确定性内胚层 (definitive endoderm) 细胞中的CRISPR增强子微扰（Enhancer perturbations）单细胞 Perturb-seq数据。实验通过多个sgRNA对转录因子OCT4和NANOG的增强子库进行转录干扰与定量微扰，并在单细胞RNA-seq层面读取扰动后的转录组响应。人类胚胎干细胞</w:t>
      </w:r>
      <w:r>
        <w:rPr>
          <w:rFonts w:hint="eastAsia"/>
        </w:rPr>
        <w:t>的</w:t>
      </w:r>
      <w:r>
        <w:t>原始表达矩阵包含</w:t>
      </w:r>
      <w:r>
        <w:rPr>
          <w:color w:val="000000"/>
          <w:sz w:val="22"/>
          <w:szCs w:val="22"/>
        </w:rPr>
        <w:t>12844</w:t>
      </w:r>
      <w:r>
        <w:t>个barcode和33586个基因</w:t>
      </w:r>
      <w:r>
        <w:rPr>
          <w:rFonts w:hint="eastAsia"/>
        </w:rPr>
        <w:t>；</w:t>
      </w:r>
      <w:r>
        <w:t>确定性内胚层</w:t>
      </w:r>
      <w:r>
        <w:rPr>
          <w:rFonts w:hint="eastAsia"/>
        </w:rPr>
        <w:t>数据的</w:t>
      </w:r>
      <w:r>
        <w:t>原始表达矩阵包含</w:t>
      </w:r>
      <w:r>
        <w:rPr>
          <w:rFonts w:hint="eastAsia"/>
          <w:color w:val="000000"/>
          <w:sz w:val="22"/>
          <w:szCs w:val="22"/>
        </w:rPr>
        <w:t>34012</w:t>
      </w:r>
      <w:r>
        <w:t>个barcode和33586个基因。</w:t>
      </w:r>
      <w:r>
        <w:rPr>
          <w:rFonts w:hint="eastAsia"/>
        </w:rPr>
        <w:t>通过</w:t>
      </w:r>
      <w:r>
        <w:t>设计连续平铺的sgRNA库，破坏不同位置的增强子活性，实现对核心多能性转录因子的表达剂量</w:t>
      </w:r>
      <w:r>
        <w:rPr>
          <w:rFonts w:hint="eastAsia"/>
        </w:rPr>
        <w:t>不同水平的</w:t>
      </w:r>
      <w:r>
        <w:t>下调。该数据集</w:t>
      </w:r>
      <w:r>
        <w:rPr>
          <w:rFonts w:hint="eastAsia"/>
        </w:rPr>
        <w:t>用于</w:t>
      </w:r>
      <w:r>
        <w:t>揭示谱系特异性基因在干细胞自我更新与分化控制中，对</w:t>
      </w:r>
      <w:r>
        <w:rPr>
          <w:rFonts w:hint="eastAsia"/>
        </w:rPr>
        <w:t>转录</w:t>
      </w:r>
      <w:r>
        <w:t>因子</w:t>
      </w:r>
      <w:r>
        <w:rPr>
          <w:rFonts w:hint="eastAsia"/>
        </w:rPr>
        <w:t>调控水平</w:t>
      </w:r>
      <w:r>
        <w:t>呈现出的非单调</w:t>
      </w:r>
      <w:r>
        <w:rPr>
          <w:rFonts w:hint="eastAsia"/>
        </w:rPr>
        <w:t>的</w:t>
      </w:r>
      <w:r>
        <w:t>响应规律。</w:t>
      </w:r>
      <w:r>
        <w:rPr>
          <w:rFonts w:hint="eastAsia"/>
        </w:rPr>
        <w:t>随着扰动强度的增加，某些谱系特征基因先上调后下调，说明大幅干扰多能性基因会影响分化过程。在该数据集上可以验证模型捕捉非单调响应的能力，以及测试模型跨细胞背景的泛化能力。</w:t>
      </w:r>
    </w:p>
    <w:p w14:paraId="32C03695">
      <w:pPr>
        <w:pStyle w:val="4"/>
        <w:rPr>
          <w:rFonts w:hint="eastAsia"/>
        </w:rPr>
      </w:pPr>
      <w:r>
        <w:rPr>
          <w:rFonts w:hint="eastAsia"/>
        </w:rPr>
        <w:t>4.2 质量控制和数据预处理</w:t>
      </w:r>
    </w:p>
    <w:p w14:paraId="44C2DC2E">
      <w:pPr>
        <w:ind w:firstLine="480" w:firstLineChars="200"/>
        <w:rPr>
          <w:rFonts w:hint="eastAsia"/>
        </w:rPr>
      </w:pPr>
      <w:r>
        <w:t>保留</w:t>
      </w:r>
      <w:r>
        <w:rPr>
          <w:rFonts w:hint="eastAsia"/>
        </w:rPr>
        <w:t>总计数大于等于</w:t>
      </w:r>
      <w:r>
        <w:t>1000、</w:t>
      </w:r>
      <w:r>
        <w:rPr>
          <w:rFonts w:hint="eastAsia"/>
        </w:rPr>
        <w:t>基因数量大于等于</w:t>
      </w:r>
      <w:r>
        <w:t>200、</w:t>
      </w:r>
      <w:r>
        <w:rPr>
          <w:rFonts w:hint="eastAsia"/>
        </w:rPr>
        <w:t>小于等于</w:t>
      </w:r>
      <w:r>
        <w:t>10000 的细胞。</w:t>
      </w:r>
      <w:r>
        <w:rPr>
          <w:rFonts w:hint="eastAsia"/>
        </w:rPr>
        <w:t>去除检测到线粒体基因大于等于20%的细胞。</w:t>
      </w:r>
      <w:r>
        <w:t>保留至少在3个细胞中表达的基因，并去除线粒体和核糖体基因。对每个细胞</w:t>
      </w:r>
      <w:r>
        <w:rPr>
          <w:rFonts w:hint="eastAsia"/>
        </w:rPr>
        <w:t>的RNA表达计数</w:t>
      </w:r>
      <w:r>
        <w:t>进行</w:t>
      </w:r>
      <w:r>
        <w:rPr>
          <w:rFonts w:hint="eastAsia"/>
        </w:rPr>
        <w:t>标准化，并</w:t>
      </w:r>
      <w:r>
        <w:t>执行log1p转换。使用Scanpy选择1000个高变基因。额外保留表达矩阵中存在的</w:t>
      </w:r>
      <w:r>
        <w:rPr>
          <w:rFonts w:hint="eastAsia"/>
        </w:rPr>
        <w:t>靶标基因</w:t>
      </w:r>
      <w:r>
        <w:t>，避免关键扰动靶点被HVG筛选丢弃</w:t>
      </w:r>
      <w:r>
        <w:rPr>
          <w:rFonts w:hint="eastAsia"/>
        </w:rPr>
        <w:fldChar w:fldCharType="begin"/>
      </w:r>
      <w:r>
        <w:rPr>
          <w:rFonts w:hint="eastAsia"/>
        </w:rPr>
        <w:instrText xml:space="preserve"> ADDIN ZOTERO_ITEM CSL_CITATION {"citationID":"qLvoIzM1","properties":{"unsorted":false,"formattedCitation":"\\super [5]\\nosupersub{}","plainCitation":"[5]","noteIndex":0},"citationItems":[{"id":642,"uris":["http://zotero.org/users/18282877/items/E92GVTLV"],"itemData":{"id":642,"type":"article-journal","abstract":"Single-cell sequencing has revolutionized our understanding of cellular heterogeneity and responses to environmental stimuli. However, mapping transcriptomic changes across diverse cell types in response to various stimuli and elucidating underlying disease mechanisms remains challenging. Here we present Squidiff, a diffusion model-based generative framework that predicts transcriptomic changes across diverse cell types in response to environmental changes. We demonstrate the robustness of Squidiff across cell differentiation, gene perturbation and drug response prediction. Through continuous denoising and semantic feature integration, Squidiff learns transient cell states and predicts high-resolution transcriptomic landscapes over time and conditions. Furthermore, we applied Squidiff to model blood vessel organoid development and cellular responses to neutron irradiation and growth factors. Our results demonstrate that Squidiff enables in silico screening of molecular landscapes and cellular state transitions, facilitating rapid hypothesis generation and providing valuable insights into the regulatory principles of cell fate decisions.","container-title":"Nature Methods","DOI":"10.1038/s41592-025-02877-y","ISSN":"1548-7105","journalAbbreviation":"Nat Methods","language":"en","license":"2025 The Author(s), under exclusive licence to Springer Nature America, Inc.","page":"1-13","publisher":"Nature Publishing Group","source":"www.nature.com","title":"Squidiff: predicting cellular development and responses to perturbations using a diffusion model","title-short":"Squidiff","author":[{"family":"He","given":"Siyu"},{"family":"Zhu","given":"Yuefei"},{"family":"Tavakol","given":"Daniel Naveed"},{"family":"Ye","given":"Haotian"},{"family":"Lao","given":"Yeh-Hsing"},{"family":"Zhu","given":"Zixian"},{"family":"Xu","given":"Cong"},{"family":"Chauhan","given":"Shradha"},{"family":"Garty","given":"Guy"},{"family":"Tomer","given":"Raju"},{"family":"Vunjak-Novakovic","given":"Gordana"},{"family":"Zou","given":"James"},{"family":"Azizi","given":"Elham"},{"family":"Leong","given":"Kam W."}],"issued":{"date-parts":[["2025",11,3]]}}}],"schema":"https://github.com/citation-style-language/schema/raw/master/csl-citation.json"} </w:instrText>
      </w:r>
      <w:r>
        <w:rPr>
          <w:rFonts w:hint="eastAsia"/>
        </w:rPr>
        <w:fldChar w:fldCharType="separate"/>
      </w:r>
      <w:r>
        <w:rPr>
          <w:rFonts w:cs="Times New Roman"/>
          <w:vertAlign w:val="superscript"/>
        </w:rPr>
        <w:t>[5]</w:t>
      </w:r>
      <w:r>
        <w:rPr>
          <w:rFonts w:hint="eastAsia"/>
        </w:rPr>
        <w:fldChar w:fldCharType="end"/>
      </w:r>
      <w:r>
        <w:t>。</w:t>
      </w:r>
    </w:p>
    <w:p w14:paraId="250EA386">
      <w:pPr>
        <w:pStyle w:val="3"/>
        <w:rPr>
          <w:rFonts w:hint="eastAsia"/>
        </w:rPr>
      </w:pPr>
      <w:r>
        <w:rPr>
          <w:rFonts w:hint="eastAsia"/>
        </w:rPr>
        <w:t>5 评估指标</w:t>
      </w:r>
      <w:r>
        <w:rPr>
          <w:rFonts w:hint="eastAsia"/>
        </w:rPr>
        <w:fldChar w:fldCharType="begin"/>
      </w:r>
      <w:r>
        <w:rPr>
          <w:rFonts w:hint="eastAsia"/>
        </w:rPr>
        <w:instrText xml:space="preserve"> ADDIN ZOTERO_ITEM CSL_CITATION {"citationID":"lxS595zf","properties":{"unsorted":false,"formattedCitation":"\\super [6]\\nosupersub{}","plainCitation":"[6]","noteIndex":0},"citationItems":[{"id":1284,"uris":["http://zotero.org/users/18282877/items/7CFDXP9T"],"itemData":{"id":1284,"type":"article-journal","abstract":"Single-cell perturbation technologies enable systematic investigation of gene functions and regulatory networks with single-cell resolution. However, performing large-scale and combinatorial perturbation screens poses notable challenges due to their exponentially increased complexity. Computational methods, including foundation models, have been developed to predict perturbation effects. Yet despite claims of promising performance, concerns remain about their true efficacy, particularly when evaluated across diverse and previously unseen cellular contexts and perturbation scenarios. Here, we present a comprehensive benchmark of 27 methods for single-cell perturbation response prediction, evaluated across 29 datasets using 6 complementary performance metrics. By evaluating them under multiple scenarios, we systematically assess their generalizability, including that of emerging foundation models. Our results provide practical guidance for method selection and underscore the need for cellular context embedding approaches to enhance the generalizability of perturbation effect prediction in single-cell research.","container-title":"Nature Methods","DOI":"10.1038/s41592-025-02980-0","ISSN":"1548-7105","issue":"2","journalAbbreviation":"Nat Methods","language":"en","license":"2025 The Author(s), under exclusive licence to Springer Nature America, Inc.","page":"451-464","publisher":"Nature Publishing Group","source":"www.nature.com","title":"Benchmarking algorithms for generalizable single-cell perturbation response prediction","volume":"23","author":[{"family":"Wei","given":"Zhiting"},{"family":"Wang","given":"Yiheng"},{"family":"Gao","given":"Yicheng"},{"family":"Wang","given":"Shuguang"},{"family":"Li","given":"Ping"},{"family":"Si","given":"Duanmiao"},{"family":"Gao","given":"Yuli"},{"family":"Wu","given":"Siqi"},{"family":"Li","given":"Danlu"},{"family":"Dong","given":"Kejing"},{"family":"Yang","given":"Xingbo"},{"family":"Tang","given":"Chen"},{"family":"Fu","given":"Shaliu"},{"family":"Chen","given":"Xiaohan"},{"family":"Li","given":"Wannian"},{"family":"You","given":"Yuzhou"},{"family":"Zhang","given":"Chen"},{"family":"Liang","given":"Aibin"},{"family":"Chuai","given":"Guohui"},{"family":"Liu","given":"Qi"}],"issued":{"date-parts":[["2026",2]]}}}],"schema":"https://github.com/citation-style-language/schema/raw/master/csl-citation.json"} </w:instrText>
      </w:r>
      <w:r>
        <w:rPr>
          <w:rFonts w:hint="eastAsia"/>
        </w:rPr>
        <w:fldChar w:fldCharType="separate"/>
      </w:r>
      <w:r>
        <w:rPr>
          <w:rFonts w:cs="Times New Roman"/>
          <w:vertAlign w:val="superscript"/>
        </w:rPr>
        <w:t>[6]</w:t>
      </w:r>
      <w:r>
        <w:rPr>
          <w:rFonts w:hint="eastAsia"/>
        </w:rPr>
        <w:fldChar w:fldCharType="end"/>
      </w:r>
    </w:p>
    <w:p w14:paraId="732D5C5F">
      <w:pPr>
        <w:pStyle w:val="4"/>
        <w:rPr>
          <w:rFonts w:hint="eastAsia"/>
        </w:rPr>
      </w:pPr>
      <w:r>
        <w:rPr>
          <w:rFonts w:hint="eastAsia"/>
        </w:rPr>
        <w:t>5.1 群体平均指标</w:t>
      </w:r>
    </w:p>
    <w:p w14:paraId="1A402DC3">
      <w:pPr>
        <w:ind w:firstLine="480" w:firstLineChars="200"/>
        <w:rPr>
          <w:rFonts w:hint="eastAsia"/>
        </w:rPr>
      </w:pPr>
      <w:r>
        <w:rPr>
          <w:rFonts w:hint="eastAsia"/>
        </w:rPr>
        <w:t>群体平均指标通过计算预测组与真实组细胞平均表达量之间的差异，评估模型对总体扰动效应的建模能力。</w:t>
      </w:r>
    </w:p>
    <w:p w14:paraId="75E29D77">
      <w:pPr>
        <w:pStyle w:val="5"/>
      </w:pPr>
      <w:r>
        <w:rPr>
          <w:rFonts w:hint="eastAsia"/>
        </w:rPr>
        <w:t>5.1.1 均方误差</w:t>
      </w:r>
    </w:p>
    <w:p w14:paraId="54EBF0CD">
      <w:pPr>
        <w:ind w:firstLine="480" w:firstLineChars="200"/>
        <w:rPr>
          <w:rFonts w:hint="eastAsia"/>
        </w:rPr>
      </w:pPr>
      <w:r>
        <w:rPr>
          <w:rFonts w:hint="eastAsia"/>
        </w:rPr>
        <w:t>MSE用于捕捉预测基因表达值与真实基因表达值之间的绝对偏差，在诸多基准测试中表现出强大的经验性能。它通过计算预测组和真实组平均表达量（近似于 Bulk RNA-seq 测量值）之间的均方误差来实现：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687"/>
        <w:gridCol w:w="1233"/>
      </w:tblGrid>
      <w:tr w14:paraId="5A29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tcPr>
          <w:p w14:paraId="00266569">
            <w:pPr>
              <w:pStyle w:val="6"/>
              <w:rPr>
                <w:rFonts w:hint="eastAsia"/>
              </w:rPr>
            </w:pPr>
          </w:p>
        </w:tc>
        <w:tc>
          <w:tcPr>
            <w:tcW w:w="5850" w:type="dxa"/>
            <w:tcBorders>
              <w:top w:val="nil"/>
              <w:left w:val="nil"/>
              <w:bottom w:val="nil"/>
              <w:right w:val="nil"/>
            </w:tcBorders>
          </w:tcPr>
          <w:p w14:paraId="34467F31">
            <w:pPr>
              <w:pStyle w:val="6"/>
              <w:rPr>
                <w:rFonts w:hint="eastAsia"/>
              </w:rPr>
            </w:pPr>
            <m:oMathPara>
              <m:oMath>
                <m:r>
                  <m:rPr>
                    <m:sty m:val="p"/>
                  </m:rPr>
                  <w:rPr>
                    <w:rFonts w:ascii="Cambria Math"/>
                  </w:rPr>
                  <m:t>MSE=</m:t>
                </m:r>
                <m:f>
                  <m:fPr>
                    <m:ctrlPr>
                      <w:rPr>
                        <w:rFonts w:ascii="Cambria Math" w:hAnsi="Cambria Math"/>
                        <w:iCs/>
                      </w:rPr>
                    </m:ctrlPr>
                  </m:fPr>
                  <m:num>
                    <m:r>
                      <m:rPr>
                        <m:sty m:val="p"/>
                      </m:rPr>
                      <w:rPr>
                        <w:rFonts w:ascii="Cambria Math"/>
                      </w:rPr>
                      <m:t>1</m:t>
                    </m:r>
                    <m:ctrlPr>
                      <w:rPr>
                        <w:rFonts w:ascii="Cambria Math" w:hAnsi="Cambria Math"/>
                        <w:iCs/>
                      </w:rPr>
                    </m:ctrlPr>
                  </m:num>
                  <m:den>
                    <m:r>
                      <m:rPr>
                        <m:sty m:val="p"/>
                      </m:rPr>
                      <w:rPr>
                        <w:rFonts w:ascii="Cambria Math"/>
                      </w:rPr>
                      <m:t>G</m:t>
                    </m:r>
                    <m:ctrlPr>
                      <w:rPr>
                        <w:rFonts w:ascii="Cambria Math" w:hAnsi="Cambria Math"/>
                        <w:iCs/>
                      </w:rPr>
                    </m:ctrlPr>
                  </m:den>
                </m:f>
                <m:nary>
                  <m:naryPr>
                    <m:chr m:val="∑"/>
                    <m:limLoc m:val="subSup"/>
                    <m:ctrlPr>
                      <w:rPr>
                        <w:rFonts w:ascii="Cambria Math" w:hAnsi="Cambria Math"/>
                        <w:iCs/>
                      </w:rPr>
                    </m:ctrlPr>
                  </m:naryPr>
                  <m:sub>
                    <m:r>
                      <m:rPr>
                        <m:sty m:val="p"/>
                      </m:rPr>
                      <w:rPr>
                        <w:rFonts w:ascii="Cambria Math"/>
                      </w:rPr>
                      <m:t>j=1</m:t>
                    </m:r>
                    <m:ctrlPr>
                      <w:rPr>
                        <w:rFonts w:ascii="Cambria Math" w:hAnsi="Cambria Math"/>
                        <w:iCs/>
                      </w:rPr>
                    </m:ctrlPr>
                  </m:sub>
                  <m:sup>
                    <m:r>
                      <m:rPr>
                        <m:sty m:val="p"/>
                      </m:rPr>
                      <w:rPr>
                        <w:rFonts w:ascii="Cambria Math"/>
                      </w:rPr>
                      <m:t>G</m:t>
                    </m:r>
                    <m:ctrlPr>
                      <w:rPr>
                        <w:rFonts w:ascii="Cambria Math" w:hAnsi="Cambria Math"/>
                        <w:iCs/>
                      </w:rPr>
                    </m:ctrlPr>
                  </m:sup>
                  <m:e>
                    <m:r>
                      <m:rPr>
                        <m:sty m:val="p"/>
                      </m:rPr>
                      <w:rPr>
                        <w:rFonts w:ascii="Cambria Math"/>
                      </w:rPr>
                      <m:t>(</m:t>
                    </m:r>
                    <m:ctrlPr>
                      <w:rPr>
                        <w:rFonts w:ascii="Cambria Math" w:hAnsi="Cambria Math"/>
                        <w:iCs/>
                      </w:rPr>
                    </m:ctrlPr>
                  </m:e>
                </m:nary>
                <m:sSub>
                  <m:sSubPr>
                    <m:ctrlPr>
                      <w:rPr>
                        <w:rFonts w:ascii="Cambria Math" w:hAnsi="Cambria Math"/>
                        <w:iCs/>
                      </w:rPr>
                    </m:ctrlPr>
                  </m:sSubPr>
                  <m:e>
                    <m:r>
                      <m:rPr>
                        <m:sty m:val="p"/>
                      </m:rPr>
                      <w:rPr>
                        <w:rFonts w:ascii="Cambria Math"/>
                      </w:rPr>
                      <m:t>y</m:t>
                    </m:r>
                    <m:ctrlPr>
                      <w:rPr>
                        <w:rFonts w:ascii="Cambria Math" w:hAnsi="Cambria Math"/>
                        <w:iCs/>
                      </w:rPr>
                    </m:ctrlPr>
                  </m:e>
                  <m:sub>
                    <m:r>
                      <m:rPr>
                        <m:sty m:val="p"/>
                      </m:rPr>
                      <w:rPr>
                        <w:rFonts w:ascii="Cambria Math"/>
                      </w:rPr>
                      <m:t>j</m:t>
                    </m:r>
                    <m:ctrlPr>
                      <w:rPr>
                        <w:rFonts w:ascii="Cambria Math" w:hAnsi="Cambria Math"/>
                        <w:iCs/>
                      </w:rPr>
                    </m:ctrlPr>
                  </m:sub>
                </m:sSub>
                <m:r>
                  <m:rPr>
                    <m:sty m:val="p"/>
                  </m:rPr>
                  <w:rPr>
                    <w:rFonts w:ascii="Cambria Math" w:hAnsi="Cambria Math" w:cs="Cambria Math"/>
                  </w:rPr>
                  <m:t>−</m:t>
                </m:r>
                <m:sSub>
                  <m:sSubPr>
                    <m:ctrlPr>
                      <w:rPr>
                        <w:rFonts w:ascii="Cambria Math" w:hAnsi="Cambria Math"/>
                        <w:iCs/>
                      </w:rPr>
                    </m:ctrlPr>
                  </m:sSubPr>
                  <m:e>
                    <m:acc>
                      <m:accPr>
                        <m:ctrlPr>
                          <w:rPr>
                            <w:rFonts w:ascii="Cambria Math" w:hAnsi="Cambria Math"/>
                            <w:iCs/>
                          </w:rPr>
                        </m:ctrlPr>
                      </m:accPr>
                      <m:e>
                        <m:r>
                          <m:rPr>
                            <m:sty m:val="p"/>
                          </m:rPr>
                          <w:rPr>
                            <w:rFonts w:ascii="Cambria Math"/>
                          </w:rPr>
                          <m:t>y</m:t>
                        </m:r>
                        <m:ctrlPr>
                          <w:rPr>
                            <w:rFonts w:ascii="Cambria Math" w:hAnsi="Cambria Math"/>
                            <w:iCs/>
                          </w:rPr>
                        </m:ctrlPr>
                      </m:e>
                    </m:acc>
                    <m:ctrlPr>
                      <w:rPr>
                        <w:rFonts w:ascii="Cambria Math" w:hAnsi="Cambria Math"/>
                        <w:iCs/>
                      </w:rPr>
                    </m:ctrlPr>
                  </m:e>
                  <m:sub>
                    <m:r>
                      <m:rPr>
                        <m:sty m:val="p"/>
                      </m:rPr>
                      <w:rPr>
                        <w:rFonts w:ascii="Cambria Math"/>
                      </w:rPr>
                      <m:t>j</m:t>
                    </m:r>
                    <m:ctrlPr>
                      <w:rPr>
                        <w:rFonts w:ascii="Cambria Math" w:hAnsi="Cambria Math"/>
                        <w:iCs/>
                      </w:rPr>
                    </m:ctrlPr>
                  </m:sub>
                </m:sSub>
                <m:sSup>
                  <m:sSupPr>
                    <m:ctrlPr>
                      <w:rPr>
                        <w:rFonts w:ascii="Cambria Math" w:hAnsi="Cambria Math"/>
                        <w:iCs/>
                      </w:rPr>
                    </m:ctrlPr>
                  </m:sSupPr>
                  <m:e>
                    <m:r>
                      <m:rPr>
                        <m:sty m:val="p"/>
                      </m:rPr>
                      <w:rPr>
                        <w:rFonts w:ascii="Cambria Math"/>
                      </w:rPr>
                      <m:t>)</m:t>
                    </m:r>
                    <m:ctrlPr>
                      <w:rPr>
                        <w:rFonts w:ascii="Cambria Math" w:hAnsi="Cambria Math"/>
                        <w:iCs/>
                      </w:rPr>
                    </m:ctrlPr>
                  </m:e>
                  <m:sup>
                    <m:r>
                      <m:rPr>
                        <m:sty m:val="p"/>
                      </m:rPr>
                      <w:rPr>
                        <w:rFonts w:ascii="Cambria Math"/>
                      </w:rPr>
                      <m:t>2</m:t>
                    </m:r>
                    <m:ctrlPr>
                      <w:rPr>
                        <w:rFonts w:ascii="Cambria Math" w:hAnsi="Cambria Math"/>
                        <w:iCs/>
                      </w:rPr>
                    </m:ctrlPr>
                  </m:sup>
                </m:sSup>
              </m:oMath>
            </m:oMathPara>
          </w:p>
        </w:tc>
        <w:tc>
          <w:tcPr>
            <w:tcW w:w="1253" w:type="dxa"/>
            <w:tcBorders>
              <w:top w:val="nil"/>
              <w:left w:val="nil"/>
              <w:bottom w:val="nil"/>
              <w:right w:val="nil"/>
            </w:tcBorders>
          </w:tcPr>
          <w:p w14:paraId="3408DA87">
            <w:pPr>
              <w:pStyle w:val="6"/>
              <w:ind w:firstLine="0"/>
              <w:jc w:val="right"/>
              <w:rPr>
                <w:rFonts w:hint="eastAsia"/>
              </w:rPr>
            </w:pPr>
            <w:r>
              <w:rPr>
                <w:rStyle w:val="19"/>
                <w:rFonts w:hint="eastAsia"/>
              </w:rPr>
              <w:t>(13)</w:t>
            </w:r>
          </w:p>
        </w:tc>
      </w:tr>
    </w:tbl>
    <w:p w14:paraId="67AF809D">
      <w:pPr>
        <w:ind w:firstLine="480" w:firstLineChars="200"/>
        <w:rPr>
          <w:rFonts w:hint="eastAsia"/>
        </w:rPr>
      </w:pPr>
    </w:p>
    <w:p w14:paraId="790EFB1B">
      <w:pPr>
        <w:ind w:firstLine="480" w:firstLineChars="200"/>
        <w:rPr>
          <w:rFonts w:hint="eastAsia"/>
        </w:rPr>
      </w:pPr>
      <w:r>
        <w:rPr>
          <w:rFonts w:hint="eastAsia"/>
        </w:rPr>
        <w:t>其中</w:t>
      </w:r>
      <m:oMath>
        <m:sSub>
          <m:sSubPr>
            <m:ctrlPr>
              <w:rPr>
                <w:rFonts w:ascii="Cambria Math" w:hAnsi="Cambria Math"/>
              </w:rPr>
            </m:ctrlPr>
          </m:sSubPr>
          <m:e>
            <m:r>
              <m:rPr/>
              <w:rPr>
                <w:rFonts w:ascii="Cambria Math"/>
              </w:rPr>
              <m:t>y</m:t>
            </m:r>
            <m:ctrlPr>
              <w:rPr>
                <w:rFonts w:ascii="Cambria Math" w:hAnsi="Cambria Math"/>
              </w:rPr>
            </m:ctrlPr>
          </m:e>
          <m:sub>
            <m:r>
              <m:rPr/>
              <w:rPr>
                <w:rFonts w:ascii="Cambria Math"/>
              </w:rPr>
              <m:t>j</m:t>
            </m:r>
            <m:ctrlPr>
              <w:rPr>
                <w:rFonts w:ascii="Cambria Math" w:hAnsi="Cambria Math"/>
              </w:rPr>
            </m:ctrlPr>
          </m:sub>
        </m:sSub>
      </m:oMath>
      <w:r>
        <w:rPr>
          <w:rFonts w:hint="eastAsia"/>
        </w:rPr>
        <w:t>和</w:t>
      </w:r>
      <m:oMath>
        <m:sSub>
          <m:sSubPr>
            <m:ctrlPr>
              <w:rPr>
                <w:rFonts w:ascii="Cambria Math" w:hAnsi="Cambria Math"/>
              </w:rPr>
            </m:ctrlPr>
          </m:sSubPr>
          <m:e>
            <m:acc>
              <m:accPr>
                <m:ctrlPr>
                  <w:rPr>
                    <w:rFonts w:ascii="Cambria Math" w:hAnsi="Cambria Math"/>
                  </w:rPr>
                </m:ctrlPr>
              </m:accPr>
              <m:e>
                <m:r>
                  <m:rPr/>
                  <w:rPr>
                    <w:rFonts w:ascii="Cambria Math"/>
                  </w:rPr>
                  <m:t>y</m:t>
                </m:r>
                <m:ctrlPr>
                  <w:rPr>
                    <w:rFonts w:ascii="Cambria Math" w:hAnsi="Cambria Math"/>
                  </w:rPr>
                </m:ctrlPr>
              </m:e>
            </m:acc>
            <m:ctrlPr>
              <w:rPr>
                <w:rFonts w:ascii="Cambria Math" w:hAnsi="Cambria Math"/>
              </w:rPr>
            </m:ctrlPr>
          </m:e>
          <m:sub>
            <m:r>
              <m:rPr/>
              <w:rPr>
                <w:rFonts w:ascii="Cambria Math"/>
              </w:rPr>
              <m:t>j</m:t>
            </m:r>
            <m:ctrlPr>
              <w:rPr>
                <w:rFonts w:ascii="Cambria Math" w:hAnsi="Cambria Math"/>
              </w:rPr>
            </m:ctrlPr>
          </m:sub>
        </m:sSub>
      </m:oMath>
      <w:r>
        <w:rPr>
          <w:rFonts w:hint="eastAsia"/>
        </w:rPr>
        <w:t>分别代表目标扰动下，某一基因j在真实细胞群体和预测细胞群体中的平均表达值，G为总基因数。该指标直观且常用，但无法反映单细胞层面的表达差异。</w:t>
      </w:r>
    </w:p>
    <w:p w14:paraId="230B3B2A">
      <w:pPr>
        <w:pStyle w:val="5"/>
      </w:pPr>
      <w:r>
        <w:rPr>
          <w:rFonts w:hint="eastAsia"/>
        </w:rPr>
        <w:t>5</w:t>
      </w:r>
      <w:r>
        <w:t xml:space="preserve">.1.2 能量距离 </w:t>
      </w:r>
    </w:p>
    <w:p w14:paraId="3D3003BF">
      <w:pPr>
        <w:ind w:firstLine="480" w:firstLineChars="200"/>
        <w:rPr>
          <w:rFonts w:hint="eastAsia"/>
        </w:rPr>
      </w:pPr>
      <w:r>
        <w:t>能量距离能够通过量化预测响应与观察响应之间平均效应的差异，提供更</w:t>
      </w:r>
      <w:r>
        <w:rPr>
          <w:rFonts w:hint="eastAsia"/>
        </w:rPr>
        <w:t>稳健</w:t>
      </w:r>
      <w:r>
        <w:t>的信息。定义为“两组细胞之间平均距离的两倍”减去“两组细胞各自内部细胞之间的平均距离”：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5870"/>
        <w:gridCol w:w="1263"/>
      </w:tblGrid>
      <w:tr w14:paraId="3A27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nil"/>
              <w:left w:val="nil"/>
              <w:bottom w:val="nil"/>
              <w:right w:val="nil"/>
            </w:tcBorders>
            <w:vAlign w:val="center"/>
          </w:tcPr>
          <w:p w14:paraId="56C848AA">
            <w:pPr>
              <w:pStyle w:val="6"/>
              <w:jc w:val="right"/>
              <w:rPr>
                <w:rFonts w:hint="eastAsia"/>
              </w:rPr>
            </w:pPr>
          </w:p>
        </w:tc>
        <w:tc>
          <w:tcPr>
            <w:tcW w:w="6020" w:type="dxa"/>
            <w:tcBorders>
              <w:top w:val="nil"/>
              <w:left w:val="nil"/>
              <w:bottom w:val="nil"/>
              <w:right w:val="nil"/>
            </w:tcBorders>
            <w:vAlign w:val="center"/>
          </w:tcPr>
          <w:p w14:paraId="0761871A">
            <w:pPr>
              <w:pStyle w:val="6"/>
              <w:jc w:val="right"/>
              <w:rPr>
                <w:rFonts w:hAnsi="Cambria Math"/>
                <w:iCs/>
              </w:rPr>
            </w:pPr>
            <m:oMathPara>
              <m:oMath>
                <m:r>
                  <m:rPr>
                    <m:sty m:val="p"/>
                  </m:rPr>
                  <w:rPr>
                    <w:rFonts w:ascii="Cambria Math" w:hAnsi="Cambria Math" w:eastAsia="sans-serif"/>
                  </w:rPr>
                  <m:t>E−distance(X,Y)</m:t>
                </m:r>
                <m:r>
                  <m:rPr/>
                  <w:rPr>
                    <w:rFonts w:ascii="Cambria Math" w:hAnsi="Cambria Math" w:eastAsia="sans-serif"/>
                  </w:rPr>
                  <m:t>=2×</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r>
                      <m:rPr/>
                      <w:rPr>
                        <w:rFonts w:ascii="Cambria Math" w:hAnsi="Cambria Math" w:eastAsia="sans-serif"/>
                      </w:rPr>
                      <m:t>nm</m:t>
                    </m:r>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oMath>
            </m:oMathPara>
          </w:p>
        </w:tc>
        <w:tc>
          <w:tcPr>
            <w:tcW w:w="1291" w:type="dxa"/>
            <w:tcBorders>
              <w:top w:val="nil"/>
              <w:left w:val="nil"/>
              <w:bottom w:val="nil"/>
              <w:right w:val="nil"/>
            </w:tcBorders>
            <w:vAlign w:val="center"/>
          </w:tcPr>
          <w:p w14:paraId="203EC5ED">
            <w:pPr>
              <w:pStyle w:val="6"/>
              <w:ind w:firstLine="0"/>
              <w:jc w:val="right"/>
              <w:rPr>
                <w:rFonts w:hint="eastAsia"/>
              </w:rPr>
            </w:pPr>
          </w:p>
        </w:tc>
      </w:tr>
      <w:tr w14:paraId="77C9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nil"/>
              <w:left w:val="nil"/>
              <w:bottom w:val="nil"/>
              <w:right w:val="nil"/>
            </w:tcBorders>
            <w:vAlign w:val="center"/>
          </w:tcPr>
          <w:p w14:paraId="4BAAF88E">
            <w:pPr>
              <w:pStyle w:val="6"/>
              <w:jc w:val="right"/>
              <w:rPr>
                <w:rFonts w:hint="eastAsia"/>
              </w:rPr>
            </w:pPr>
          </w:p>
        </w:tc>
        <w:tc>
          <w:tcPr>
            <w:tcW w:w="6020" w:type="dxa"/>
            <w:tcBorders>
              <w:top w:val="nil"/>
              <w:left w:val="nil"/>
              <w:bottom w:val="nil"/>
              <w:right w:val="nil"/>
            </w:tcBorders>
            <w:vAlign w:val="center"/>
          </w:tcPr>
          <w:p w14:paraId="7D28D626">
            <w:pPr>
              <w:pStyle w:val="6"/>
              <w:jc w:val="right"/>
              <w:rPr>
                <w:rFonts w:hint="eastAsia" w:ascii="Cambria Math"/>
                <w:oMath/>
              </w:rPr>
            </w:pPr>
            <m:oMathPara>
              <m:oMath>
                <m:r>
                  <m:rPr/>
                  <w:rPr>
                    <w:rFonts w:ascii="Cambria Math" w:hAnsi="Cambria Math" w:eastAsia="sans-serif"/>
                  </w:rPr>
                  <m:t>−</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sSup>
                      <m:sSupPr>
                        <m:ctrlPr>
                          <w:rPr>
                            <w:rFonts w:ascii="Cambria Math" w:hAnsi="Cambria Math" w:eastAsia="sans-serif"/>
                            <w:i/>
                          </w:rPr>
                        </m:ctrlPr>
                      </m:sSupPr>
                      <m:e>
                        <m:r>
                          <m:rPr/>
                          <w:rPr>
                            <w:rFonts w:ascii="Cambria Math" w:hAnsi="Cambria Math" w:eastAsia="sans-serif"/>
                          </w:rPr>
                          <m:t>n</m:t>
                        </m:r>
                        <m:ctrlPr>
                          <w:rPr>
                            <w:rFonts w:ascii="Cambria Math" w:hAnsi="Cambria Math" w:eastAsia="sans-serif"/>
                            <w:i/>
                          </w:rPr>
                        </m:ctrlPr>
                      </m:e>
                      <m:sup>
                        <m:r>
                          <m:rPr/>
                          <w:rPr>
                            <w:rFonts w:ascii="Cambria Math" w:hAnsi="Cambria Math" w:eastAsia="sans-serif"/>
                          </w:rPr>
                          <m:t>2</m:t>
                        </m:r>
                        <m:ctrlPr>
                          <w:rPr>
                            <w:rFonts w:ascii="Cambria Math" w:hAnsi="Cambria Math" w:eastAsia="sans-serif"/>
                            <w:i/>
                          </w:rPr>
                        </m:ctrlPr>
                      </m:sup>
                    </m:sSup>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sSup>
                      <m:sSupPr>
                        <m:ctrlPr>
                          <w:rPr>
                            <w:rFonts w:ascii="Cambria Math" w:hAnsi="Cambria Math" w:eastAsia="sans-serif"/>
                            <w:i/>
                          </w:rPr>
                        </m:ctrlPr>
                      </m:sSupPr>
                      <m:e>
                        <m:r>
                          <m:rPr/>
                          <w:rPr>
                            <w:rFonts w:ascii="Cambria Math" w:hAnsi="Cambria Math" w:eastAsia="sans-serif"/>
                          </w:rPr>
                          <m:t>m</m:t>
                        </m:r>
                        <m:ctrlPr>
                          <w:rPr>
                            <w:rFonts w:ascii="Cambria Math" w:hAnsi="Cambria Math" w:eastAsia="sans-serif"/>
                            <w:i/>
                          </w:rPr>
                        </m:ctrlPr>
                      </m:e>
                      <m:sup>
                        <m:r>
                          <m:rPr/>
                          <w:rPr>
                            <w:rFonts w:ascii="Cambria Math" w:hAnsi="Cambria Math" w:eastAsia="sans-serif"/>
                          </w:rPr>
                          <m:t>2</m:t>
                        </m:r>
                        <m:ctrlPr>
                          <w:rPr>
                            <w:rFonts w:ascii="Cambria Math" w:hAnsi="Cambria Math" w:eastAsia="sans-serif"/>
                            <w:i/>
                          </w:rPr>
                        </m:ctrlPr>
                      </m:sup>
                    </m:sSup>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oMath>
            </m:oMathPara>
          </w:p>
        </w:tc>
        <w:tc>
          <w:tcPr>
            <w:tcW w:w="1291" w:type="dxa"/>
            <w:tcBorders>
              <w:top w:val="nil"/>
              <w:left w:val="nil"/>
              <w:bottom w:val="nil"/>
              <w:right w:val="nil"/>
            </w:tcBorders>
            <w:vAlign w:val="center"/>
          </w:tcPr>
          <w:p w14:paraId="662BDE49">
            <w:pPr>
              <w:pStyle w:val="6"/>
              <w:ind w:firstLine="0"/>
              <w:jc w:val="right"/>
              <w:rPr>
                <w:rStyle w:val="19"/>
                <w:rFonts w:hint="eastAsia"/>
              </w:rPr>
            </w:pPr>
            <w:r>
              <w:rPr>
                <w:rStyle w:val="19"/>
                <w:rFonts w:hint="eastAsia"/>
              </w:rPr>
              <w:t>(15)</w:t>
            </w:r>
          </w:p>
        </w:tc>
      </w:tr>
    </w:tbl>
    <w:p w14:paraId="2A13A098">
      <w:pPr>
        <w:ind w:firstLine="480" w:firstLineChars="200"/>
        <w:rPr>
          <w:rFonts w:hint="eastAsia"/>
        </w:rPr>
      </w:pPr>
    </w:p>
    <w:p w14:paraId="16B486E2">
      <w:pPr>
        <w:ind w:firstLine="480" w:firstLineChars="200"/>
        <w:rPr>
          <w:rFonts w:hint="eastAsia"/>
        </w:rPr>
      </w:pPr>
      <w:r>
        <w:t>其中</w:t>
      </w:r>
      <m:oMath>
        <m:r>
          <m:rPr/>
          <w:rPr>
            <w:rFonts w:ascii="Cambria Math"/>
          </w:rPr>
          <m:t>X={</m:t>
        </m:r>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t>和</w:t>
      </w:r>
      <m:oMath>
        <m:r>
          <m:rPr/>
          <w:rPr>
            <w:rFonts w:ascii="Cambria Math"/>
          </w:rPr>
          <m:t>Y={</m:t>
        </m:r>
        <m:sSub>
          <m:sSubPr>
            <m:ctrlPr>
              <w:rPr>
                <w:rFonts w:ascii="Cambria Math" w:hAnsi="Cambria Math"/>
              </w:rPr>
            </m:ctrlPr>
          </m:sSubPr>
          <m:e>
            <m:r>
              <m:rPr>
                <m:sty m:val="b"/>
              </m:rPr>
              <w:rPr>
                <w:rFonts w:ascii="Cambria Math"/>
              </w:rPr>
              <m:t>y</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y</m:t>
            </m:r>
            <m:ctrlPr>
              <w:rPr>
                <w:rFonts w:ascii="Cambria Math" w:hAnsi="Cambria Math"/>
              </w:rPr>
            </m:ctrlPr>
          </m:e>
          <m:sub>
            <m:r>
              <m:rPr/>
              <w:rPr>
                <w:rFonts w:ascii="Cambria Math"/>
              </w:rPr>
              <m:t>m</m:t>
            </m:r>
            <m:ctrlPr>
              <w:rPr>
                <w:rFonts w:ascii="Cambria Math" w:hAnsi="Cambria Math"/>
              </w:rPr>
            </m:ctrlPr>
          </m:sub>
        </m:sSub>
        <m:r>
          <m:rPr/>
          <w:rPr>
            <w:rFonts w:ascii="Cambria Math"/>
          </w:rPr>
          <m:t>}</m:t>
        </m:r>
      </m:oMath>
      <w:r>
        <w:t>分别代表真实和预测的单细</w:t>
      </w:r>
      <w:r>
        <w:rPr>
          <w:rFonts w:hint="eastAsia"/>
        </w:rPr>
        <w:t>q</w:t>
      </w:r>
      <w:r>
        <w:t>胞表达谱集合。能量距离的数值越大，表明两个群体间的相似度越低，模型预测性能越差。</w:t>
      </w:r>
    </w:p>
    <w:p w14:paraId="2259E066">
      <w:pPr>
        <w:pStyle w:val="5"/>
      </w:pPr>
      <w:r>
        <w:rPr>
          <w:rFonts w:hint="eastAsia"/>
        </w:rPr>
        <w:t>5</w:t>
      </w:r>
      <w:r>
        <w:t>.1.3 PCC-delta</w:t>
      </w:r>
    </w:p>
    <w:p w14:paraId="4EDFD4CA">
      <w:pPr>
        <w:ind w:firstLine="480" w:firstLineChars="200"/>
        <w:rPr>
          <w:rFonts w:hint="eastAsia"/>
        </w:rPr>
      </w:pPr>
      <w:r>
        <w:rPr>
          <w:rFonts w:hint="eastAsia"/>
        </w:rPr>
        <w:t>相比传统的皮尔逊相关系数（PCC），PCC-delta 捕捉扰动引起表达变化的方向一致性，这对于理解扰动系统中的调控网络变化至关重要。其取值范围被严格限制在[-1, 1]之间，更具可解释性。</w:t>
      </w:r>
    </w:p>
    <w:p w14:paraId="7E019A16">
      <w:pPr>
        <w:ind w:firstLine="480" w:firstLineChars="200"/>
        <w:rPr>
          <w:rFonts w:hint="eastAsia"/>
        </w:rPr>
      </w:pPr>
      <w:r>
        <w:rPr>
          <w:rFonts w:hint="eastAsia"/>
        </w:rPr>
        <w:t>首先分别计算真实组、预测组以及未扰动对照组细胞的基因表达均值，分别记为</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true</m:t>
            </m:r>
            <m:ctrlPr>
              <w:rPr>
                <w:rFonts w:ascii="Cambria Math" w:hAnsi="Cambria Math"/>
              </w:rPr>
            </m:ctrlPr>
          </m:sub>
        </m:sSub>
      </m:oMath>
      <w:r>
        <w:rPr>
          <w:rFonts w:hint="eastAsia"/>
        </w:rPr>
        <w:t>、</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pred</m:t>
            </m:r>
            <m:ctrlPr>
              <w:rPr>
                <w:rFonts w:ascii="Cambria Math" w:hAnsi="Cambria Math"/>
              </w:rPr>
            </m:ctrlPr>
          </m:sub>
        </m:sSub>
      </m:oMath>
      <w:r>
        <w:rPr>
          <w:rFonts w:hint="eastAsia"/>
        </w:rPr>
        <w:t>和</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ctrl</m:t>
            </m:r>
            <m:ctrlPr>
              <w:rPr>
                <w:rFonts w:ascii="Cambria Math" w:hAnsi="Cambria Math"/>
              </w:rPr>
            </m:ctrlPr>
          </m:sub>
        </m:sSub>
      </m:oMath>
      <w:r>
        <w:rPr>
          <w:rFonts w:hint="eastAsia"/>
        </w:rPr>
        <w:t>。则PCC-delta定义为预测表达变化量与真实表达变化量之间的皮尔逊相关系数：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1"/>
        <w:gridCol w:w="5858"/>
        <w:gridCol w:w="1267"/>
      </w:tblGrid>
      <w:tr w14:paraId="38A3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79A42FDB">
            <w:pPr>
              <w:pStyle w:val="6"/>
              <w:rPr>
                <w:rFonts w:hint="eastAsia"/>
              </w:rPr>
            </w:pPr>
          </w:p>
        </w:tc>
        <w:tc>
          <w:tcPr>
            <w:tcW w:w="6020" w:type="dxa"/>
            <w:tcBorders>
              <w:top w:val="nil"/>
              <w:left w:val="nil"/>
              <w:bottom w:val="nil"/>
              <w:right w:val="nil"/>
            </w:tcBorders>
          </w:tcPr>
          <w:p w14:paraId="459869E7">
            <w:pPr>
              <w:pStyle w:val="6"/>
              <w:rPr>
                <w:rFonts w:hint="eastAsia" w:ascii="Cambria Math"/>
                <w:oMath/>
              </w:rPr>
            </w:pPr>
            <m:oMathPara>
              <m:oMath>
                <m:r>
                  <m:rPr>
                    <m:sty m:val="p"/>
                  </m:rPr>
                  <w:rPr>
                    <w:rFonts w:hint="eastAsia" w:ascii="Cambria Math" w:hAnsi="Cambria Math"/>
                  </w:rPr>
                  <m:t xml:space="preserve"> </m:t>
                </m:r>
                <m:r>
                  <m:rPr>
                    <m:sty m:val="p"/>
                  </m:rPr>
                  <w:rPr>
                    <w:rFonts w:ascii="Cambria Math" w:hAnsi="Cambria Math" w:eastAsia="sans-serif"/>
                  </w:rPr>
                  <m:t>PCC−delta=PCC(</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true</m:t>
                    </m:r>
                    <m:ctrlPr>
                      <w:rPr>
                        <w:rFonts w:ascii="Cambria Math" w:hAnsi="Cambria Math" w:eastAsia="sans-serif"/>
                        <w:iCs/>
                      </w:rPr>
                    </m:ctrlPr>
                  </m:sub>
                </m:sSub>
                <m:r>
                  <m:rPr>
                    <m:sty m:val="p"/>
                  </m:rPr>
                  <w:rPr>
                    <w:rFonts w:ascii="Cambria Math" w:hAnsi="Cambria Math" w:eastAsia="sans-serif"/>
                  </w:rPr>
                  <m:t>−</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ctrl</m:t>
                    </m:r>
                    <m:ctrlPr>
                      <w:rPr>
                        <w:rFonts w:ascii="Cambria Math" w:hAnsi="Cambria Math" w:eastAsia="sans-serif"/>
                        <w:iCs/>
                      </w:rPr>
                    </m:ctrlPr>
                  </m:sub>
                </m:sSub>
                <m:r>
                  <m:rPr>
                    <m:sty m:val="p"/>
                  </m:rPr>
                  <w:rPr>
                    <w:rFonts w:ascii="Cambria Math" w:hAnsi="Cambria Math" w:eastAsia="sans-serif"/>
                  </w:rPr>
                  <m:t>, </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pred</m:t>
                    </m:r>
                    <m:ctrlPr>
                      <w:rPr>
                        <w:rFonts w:ascii="Cambria Math" w:hAnsi="Cambria Math" w:eastAsia="sans-serif"/>
                        <w:iCs/>
                      </w:rPr>
                    </m:ctrlPr>
                  </m:sub>
                </m:sSub>
                <m:r>
                  <m:rPr>
                    <m:sty m:val="p"/>
                  </m:rPr>
                  <w:rPr>
                    <w:rFonts w:ascii="Cambria Math" w:hAnsi="Cambria Math" w:eastAsia="sans-serif"/>
                  </w:rPr>
                  <m:t>−</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ctrl</m:t>
                    </m:r>
                    <m:ctrlPr>
                      <w:rPr>
                        <w:rFonts w:ascii="Cambria Math" w:hAnsi="Cambria Math" w:eastAsia="sans-serif"/>
                        <w:iCs/>
                      </w:rPr>
                    </m:ctrlPr>
                  </m:sub>
                </m:sSub>
                <m:r>
                  <m:rPr>
                    <m:sty m:val="p"/>
                  </m:rPr>
                  <w:rPr>
                    <w:rFonts w:ascii="Cambria Math" w:hAnsi="Cambria Math" w:eastAsia="sans-serif"/>
                  </w:rPr>
                  <m:t>)</m:t>
                </m:r>
              </m:oMath>
            </m:oMathPara>
          </w:p>
        </w:tc>
        <w:tc>
          <w:tcPr>
            <w:tcW w:w="1291" w:type="dxa"/>
            <w:tcBorders>
              <w:top w:val="nil"/>
              <w:left w:val="nil"/>
              <w:bottom w:val="nil"/>
              <w:right w:val="nil"/>
            </w:tcBorders>
            <w:vAlign w:val="bottom"/>
          </w:tcPr>
          <w:p w14:paraId="2920FDCB">
            <w:pPr>
              <w:pStyle w:val="6"/>
              <w:ind w:firstLine="0"/>
              <w:jc w:val="right"/>
              <w:rPr>
                <w:rStyle w:val="19"/>
                <w:rFonts w:ascii="Times New Roman" w:hAnsi="Times New Roman" w:cs="Times New Roman"/>
              </w:rPr>
            </w:pPr>
            <w:r>
              <w:rPr>
                <w:rStyle w:val="19"/>
                <w:rFonts w:hint="eastAsia"/>
              </w:rPr>
              <w:t>(16)</w:t>
            </w:r>
          </w:p>
        </w:tc>
      </w:tr>
    </w:tbl>
    <w:p w14:paraId="180555C8">
      <w:pPr>
        <w:spacing w:line="12" w:lineRule="atLeast"/>
        <w:rPr>
          <w:rFonts w:hAnsi="Cambria Math" w:eastAsia="sans-serif"/>
          <w:iCs/>
        </w:rPr>
      </w:pPr>
    </w:p>
    <w:p w14:paraId="2833CBD4">
      <w:pPr>
        <w:ind w:firstLine="480" w:firstLineChars="200"/>
        <w:rPr>
          <w:rFonts w:hint="eastAsia"/>
          <w:lang w:bidi="ar"/>
        </w:rPr>
      </w:pPr>
      <w:r>
        <w:rPr>
          <w:lang w:bidi="ar"/>
        </w:rPr>
        <w:t>其中标准</w:t>
      </w:r>
      <w:r>
        <w:rPr>
          <w:rFonts w:hint="eastAsia"/>
          <w:lang w:bidi="ar"/>
        </w:rPr>
        <w:t>PCC</w:t>
      </w:r>
      <w:r>
        <w:rPr>
          <w:lang w:bidi="ar"/>
        </w:rPr>
        <w:t>的计算公式为：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5856"/>
        <w:gridCol w:w="1268"/>
      </w:tblGrid>
      <w:tr w14:paraId="2482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7863282B">
            <w:pPr>
              <w:pStyle w:val="6"/>
              <w:rPr>
                <w:rFonts w:hint="eastAsia"/>
              </w:rPr>
            </w:pPr>
          </w:p>
        </w:tc>
        <w:tc>
          <w:tcPr>
            <w:tcW w:w="6020" w:type="dxa"/>
            <w:tcBorders>
              <w:top w:val="nil"/>
              <w:left w:val="nil"/>
              <w:bottom w:val="nil"/>
              <w:right w:val="nil"/>
            </w:tcBorders>
          </w:tcPr>
          <w:p w14:paraId="423284AE">
            <w:pPr>
              <w:pStyle w:val="6"/>
              <w:rPr>
                <w:rFonts w:hint="eastAsia" w:ascii="Cambria Math"/>
                <w:oMath/>
              </w:rPr>
            </w:pPr>
            <m:oMathPara>
              <m:oMath>
                <m:r>
                  <m:rPr>
                    <m:sty m:val="p"/>
                  </m:rPr>
                  <w:rPr>
                    <w:rFonts w:ascii="Cambria Math" w:hAnsi="Cambria Math"/>
                  </w:rPr>
                  <m:t>PCC</m:t>
                </m:r>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v</m:t>
                        </m:r>
                        <m:ctrlPr>
                          <w:rPr>
                            <w:rFonts w:ascii="Cambria Math" w:hAnsi="Cambria Math"/>
                          </w:rPr>
                        </m:ctrlPr>
                      </m:e>
                    </m:acc>
                    <m:r>
                      <m:rPr/>
                      <w:rPr>
                        <w:rFonts w:ascii="Cambria Math" w:hAnsi="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v</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oMath>
            </m:oMathPara>
          </w:p>
        </w:tc>
        <w:tc>
          <w:tcPr>
            <w:tcW w:w="1291" w:type="dxa"/>
            <w:tcBorders>
              <w:top w:val="nil"/>
              <w:left w:val="nil"/>
              <w:bottom w:val="nil"/>
              <w:right w:val="nil"/>
            </w:tcBorders>
            <w:vAlign w:val="bottom"/>
          </w:tcPr>
          <w:p w14:paraId="6136D917">
            <w:pPr>
              <w:pStyle w:val="6"/>
              <w:ind w:firstLine="0"/>
              <w:jc w:val="right"/>
              <w:rPr>
                <w:rStyle w:val="19"/>
                <w:rFonts w:hint="eastAsia"/>
              </w:rPr>
            </w:pPr>
            <w:r>
              <w:rPr>
                <w:rStyle w:val="19"/>
                <w:rFonts w:hint="eastAsia"/>
              </w:rPr>
              <w:t>(17)</w:t>
            </w:r>
          </w:p>
        </w:tc>
      </w:tr>
    </w:tbl>
    <w:p w14:paraId="2F902B40">
      <w:pPr>
        <w:ind w:firstLine="480" w:firstLineChars="200"/>
        <w:rPr>
          <w:rFonts w:hint="eastAsia"/>
          <w:lang w:bidi="ar"/>
        </w:rPr>
      </w:pPr>
    </w:p>
    <w:p w14:paraId="0BE1C289">
      <w:pPr>
        <w:rPr>
          <w:rFonts w:hAnsi="Cambria Math"/>
        </w:rPr>
      </w:pPr>
    </w:p>
    <w:p w14:paraId="2058014D">
      <w:pPr>
        <w:rPr>
          <w:rFonts w:hAnsi="Cambria Math"/>
        </w:rPr>
      </w:pPr>
    </w:p>
    <w:p w14:paraId="5EE8EFAE">
      <w:pPr>
        <w:pStyle w:val="4"/>
        <w:rPr>
          <w:rFonts w:hint="eastAsia"/>
        </w:rPr>
      </w:pPr>
      <w:r>
        <w:rPr>
          <w:rFonts w:hint="eastAsia"/>
        </w:rPr>
        <w:t>5.2 群体分布指标</w:t>
      </w:r>
    </w:p>
    <w:p w14:paraId="7916DB98">
      <w:pPr>
        <w:ind w:firstLine="480" w:firstLineChars="200"/>
        <w:rPr>
          <w:rFonts w:hint="eastAsia"/>
        </w:rPr>
      </w:pPr>
      <w:r>
        <w:rPr>
          <w:rFonts w:hint="eastAsia"/>
        </w:rPr>
        <w:t>群体</w:t>
      </w:r>
      <w:r>
        <w:t>分布指标</w:t>
      </w:r>
      <w:r>
        <w:rPr>
          <w:rFonts w:hint="eastAsia"/>
        </w:rPr>
        <w:t>衡量</w:t>
      </w:r>
      <w:r>
        <w:t>模型准确预测单细胞表达谱的分布</w:t>
      </w:r>
      <w:r>
        <w:rPr>
          <w:rFonts w:hint="eastAsia"/>
        </w:rPr>
        <w:t>的能力</w:t>
      </w:r>
      <w:r>
        <w:t>。</w:t>
      </w:r>
    </w:p>
    <w:p w14:paraId="3A04225C">
      <w:pPr>
        <w:pStyle w:val="5"/>
      </w:pPr>
      <w:r>
        <w:rPr>
          <w:rFonts w:hint="eastAsia"/>
        </w:rPr>
        <w:t>5.2.1 Wasserstein距离</w:t>
      </w:r>
    </w:p>
    <w:p w14:paraId="7EFD5ADA">
      <w:pPr>
        <w:ind w:firstLine="480" w:firstLineChars="200"/>
        <w:rPr>
          <w:rFonts w:hint="eastAsia"/>
        </w:rPr>
      </w:pPr>
      <w:r>
        <w:t>Wasserstein距离能够量化单细胞</w:t>
      </w:r>
      <w:r>
        <w:rPr>
          <w:rFonts w:hint="eastAsia"/>
        </w:rPr>
        <w:t>表达</w:t>
      </w:r>
      <w:r>
        <w:t>预测分布与真实分布之间的差异</w:t>
      </w:r>
      <w:r>
        <w:rPr>
          <w:rFonts w:hint="eastAsia"/>
        </w:rPr>
        <w:t>，计算公式如下：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5849"/>
        <w:gridCol w:w="1270"/>
      </w:tblGrid>
      <w:tr w14:paraId="0ABD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6DBF5477">
            <w:pPr>
              <w:pStyle w:val="6"/>
              <w:rPr>
                <w:rFonts w:hint="eastAsia"/>
              </w:rPr>
            </w:pPr>
          </w:p>
        </w:tc>
        <w:tc>
          <w:tcPr>
            <w:tcW w:w="6020" w:type="dxa"/>
            <w:tcBorders>
              <w:top w:val="nil"/>
              <w:left w:val="nil"/>
              <w:bottom w:val="nil"/>
              <w:right w:val="nil"/>
            </w:tcBorders>
          </w:tcPr>
          <w:p w14:paraId="453D0721">
            <w:pPr>
              <w:pStyle w:val="6"/>
              <w:rPr>
                <w:rFonts w:hint="eastAsia" w:ascii="Cambria Math"/>
                <w:oMath/>
              </w:rPr>
            </w:pPr>
            <m:oMathPara>
              <m:oMath>
                <m:r>
                  <m:rPr>
                    <m:sty m:val="p"/>
                  </m:rPr>
                  <w:rPr>
                    <w:rFonts w:ascii="Cambria Math" w:hAnsi="Cambria Math"/>
                  </w:rPr>
                  <m:t xml:space="preserve"> </m:t>
                </m:r>
                <m:sSub>
                  <m:sSubPr>
                    <m:ctrlPr>
                      <w:rPr>
                        <w:rFonts w:ascii="Cambria Math" w:hAnsi="Cambria Math" w:eastAsia="sans-serif"/>
                      </w:rPr>
                    </m:ctrlPr>
                  </m:sSubPr>
                  <m:e>
                    <m:r>
                      <m:rPr>
                        <m:sty m:val="p"/>
                      </m:rPr>
                      <w:rPr>
                        <w:rFonts w:ascii="Cambria Math" w:hAnsi="Cambria Math" w:eastAsia="sans-serif"/>
                      </w:rPr>
                      <m:t>W</m:t>
                    </m:r>
                    <m:ctrlPr>
                      <w:rPr>
                        <w:rFonts w:ascii="Cambria Math" w:hAnsi="Cambria Math" w:eastAsia="sans-serif"/>
                      </w:rPr>
                    </m:ctrlPr>
                  </m:e>
                  <m:sub>
                    <m:r>
                      <m:rPr>
                        <m:sty m:val="p"/>
                      </m:rPr>
                      <w:rPr>
                        <w:rFonts w:ascii="Cambria Math" w:hAnsi="Cambria Math" w:eastAsia="sans-serif"/>
                      </w:rPr>
                      <m:t>1</m:t>
                    </m:r>
                    <m:ctrlPr>
                      <w:rPr>
                        <w:rFonts w:ascii="Cambria Math" w:hAnsi="Cambria Math" w:eastAsia="sans-serif"/>
                      </w:rPr>
                    </m:ctrlPr>
                  </m:sub>
                </m:sSub>
                <m:r>
                  <m:rPr>
                    <m:sty m:val="p"/>
                  </m:rPr>
                  <w:rPr>
                    <w:rFonts w:ascii="Cambria Math" w:hAnsi="Cambria Math" w:eastAsia="sans-serif"/>
                  </w:rPr>
                  <m:t>(P,Q)=</m:t>
                </m:r>
                <m:func>
                  <m:funcPr>
                    <m:ctrlPr>
                      <w:rPr>
                        <w:rFonts w:ascii="Cambria Math" w:hAnsi="Cambria Math" w:eastAsia="sans-serif"/>
                      </w:rPr>
                    </m:ctrlPr>
                  </m:funcPr>
                  <m:fName>
                    <m:limLow>
                      <m:limLowPr>
                        <m:ctrlPr>
                          <w:rPr>
                            <w:rFonts w:ascii="Cambria Math" w:hAnsi="Cambria Math" w:eastAsia="sans-serif"/>
                          </w:rPr>
                        </m:ctrlPr>
                      </m:limLowPr>
                      <m:e>
                        <m:r>
                          <m:rPr>
                            <m:sty m:val="p"/>
                          </m:rPr>
                          <w:rPr>
                            <w:rFonts w:ascii="Cambria Math" w:hAnsi="Cambria Math" w:eastAsia="sans-serif"/>
                          </w:rPr>
                          <m:t>inf</m:t>
                        </m:r>
                        <m:ctrlPr>
                          <w:rPr>
                            <w:rFonts w:ascii="Cambria Math" w:hAnsi="Cambria Math" w:eastAsia="sans-serif"/>
                          </w:rPr>
                        </m:ctrlPr>
                      </m:e>
                      <m:lim>
                        <m:r>
                          <m:rPr>
                            <m:sty m:val="p"/>
                          </m:rPr>
                          <w:rPr>
                            <w:rFonts w:ascii="Cambria Math" w:hAnsi="Cambria Math" w:eastAsia="sans-serif"/>
                          </w:rPr>
                          <m:t>γ∈Γ(P,Q)</m:t>
                        </m:r>
                        <m:ctrlPr>
                          <w:rPr>
                            <w:rFonts w:ascii="Cambria Math" w:hAnsi="Cambria Math" w:eastAsia="sans-serif"/>
                          </w:rPr>
                        </m:ctrlPr>
                      </m:lim>
                    </m:limLow>
                    <m:ctrlPr>
                      <w:rPr>
                        <w:rFonts w:ascii="Cambria Math" w:hAnsi="Cambria Math" w:eastAsia="sans-serif"/>
                      </w:rPr>
                    </m:ctrlPr>
                  </m:fName>
                  <m:e>
                    <m:sSub>
                      <m:sSubPr>
                        <m:ctrlPr>
                          <w:rPr>
                            <w:rFonts w:ascii="Cambria Math" w:hAnsi="Cambria Math" w:eastAsia="sans-serif"/>
                          </w:rPr>
                        </m:ctrlPr>
                      </m:sSubPr>
                      <m:e>
                        <m:r>
                          <m:rPr>
                            <m:sty m:val="p"/>
                            <m:scr m:val="double-struck"/>
                          </m:rPr>
                          <w:rPr>
                            <w:rFonts w:ascii="Cambria Math" w:hAnsi="Cambria Math" w:eastAsia="MS Mincho"/>
                          </w:rPr>
                          <m:t>E</m:t>
                        </m:r>
                        <m:ctrlPr>
                          <w:rPr>
                            <w:rFonts w:ascii="Cambria Math" w:hAnsi="Cambria Math" w:eastAsia="sans-serif"/>
                          </w:rPr>
                        </m:ctrlPr>
                      </m:e>
                      <m:sub>
                        <m:r>
                          <m:rPr>
                            <m:sty m:val="p"/>
                          </m:rPr>
                          <w:rPr>
                            <w:rFonts w:ascii="Cambria Math" w:hAnsi="Cambria Math" w:eastAsia="sans-serif"/>
                          </w:rPr>
                          <m:t>(x,y)∼γ</m:t>
                        </m:r>
                        <m:ctrlPr>
                          <w:rPr>
                            <w:rFonts w:ascii="Cambria Math" w:hAnsi="Cambria Math" w:eastAsia="sans-serif"/>
                          </w:rPr>
                        </m:ctrlPr>
                      </m:sub>
                    </m:sSub>
                    <m:ctrlPr>
                      <w:rPr>
                        <w:rFonts w:ascii="Cambria Math" w:hAnsi="Cambria Math" w:eastAsia="sans-serif"/>
                      </w:rPr>
                    </m:ctrlPr>
                  </m:e>
                </m:func>
                <m:r>
                  <m:rPr>
                    <m:sty m:val="p"/>
                  </m:rPr>
                  <w:rPr>
                    <w:rFonts w:ascii="Cambria Math" w:hAnsi="Cambria Math" w:eastAsia="sans-serif"/>
                  </w:rPr>
                  <m:t>[‖x−y‖]</m:t>
                </m:r>
              </m:oMath>
            </m:oMathPara>
          </w:p>
        </w:tc>
        <w:tc>
          <w:tcPr>
            <w:tcW w:w="1291" w:type="dxa"/>
            <w:tcBorders>
              <w:top w:val="nil"/>
              <w:left w:val="nil"/>
              <w:bottom w:val="nil"/>
              <w:right w:val="nil"/>
            </w:tcBorders>
            <w:vAlign w:val="bottom"/>
          </w:tcPr>
          <w:p w14:paraId="256F19F0">
            <w:pPr>
              <w:pStyle w:val="6"/>
              <w:ind w:firstLine="0"/>
              <w:jc w:val="right"/>
              <w:rPr>
                <w:rStyle w:val="19"/>
                <w:rFonts w:hint="eastAsia"/>
              </w:rPr>
            </w:pPr>
            <w:r>
              <w:rPr>
                <w:rStyle w:val="19"/>
                <w:rFonts w:hint="eastAsia"/>
              </w:rPr>
              <w:t>(18)</w:t>
            </w:r>
          </w:p>
        </w:tc>
      </w:tr>
    </w:tbl>
    <w:p w14:paraId="633243CD">
      <w:pPr>
        <w:pStyle w:val="5"/>
      </w:pPr>
      <w:r>
        <w:rPr>
          <w:rFonts w:hint="eastAsia"/>
        </w:rPr>
        <w:t xml:space="preserve">5.2.2 </w:t>
      </w:r>
      <w:r>
        <w:t>KL 散度</w:t>
      </w:r>
    </w:p>
    <w:p w14:paraId="07E04DF7">
      <w:pPr>
        <w:spacing w:line="12" w:lineRule="atLeast"/>
        <w:ind w:firstLine="480" w:firstLineChars="200"/>
        <w:rPr>
          <w:rFonts w:hAnsi="sans-serif" w:eastAsia="sans-serif" w:cs="sans-serif"/>
          <w:lang w:bidi="ar"/>
        </w:rPr>
      </w:pPr>
      <w:r>
        <w:rPr>
          <w:rFonts w:hAnsi="sans-serif" w:eastAsia="sans-serif" w:cs="sans-serif"/>
          <w:lang w:bidi="ar"/>
        </w:rPr>
        <w:t>KL散度又名相对熵</w:t>
      </w:r>
      <w:r>
        <w:rPr>
          <w:rFonts w:hint="eastAsia" w:hAnsi="sans-serif" w:eastAsia="sans-serif" w:cs="sans-serif"/>
          <w:lang w:bidi="ar"/>
        </w:rPr>
        <w:t>，同样用于量化单细胞预测分布与实际分布之间的差异</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5848"/>
        <w:gridCol w:w="1271"/>
      </w:tblGrid>
      <w:tr w14:paraId="4C56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4B27B03C">
            <w:pPr>
              <w:pStyle w:val="6"/>
              <w:rPr>
                <w:rFonts w:hint="eastAsia"/>
              </w:rPr>
            </w:pPr>
          </w:p>
        </w:tc>
        <w:tc>
          <w:tcPr>
            <w:tcW w:w="6020" w:type="dxa"/>
            <w:tcBorders>
              <w:top w:val="nil"/>
              <w:left w:val="nil"/>
              <w:bottom w:val="nil"/>
              <w:right w:val="nil"/>
            </w:tcBorders>
          </w:tcPr>
          <w:p w14:paraId="165D3588">
            <w:pPr>
              <w:pStyle w:val="6"/>
              <w:rPr>
                <w:rFonts w:hint="eastAsia" w:ascii="Cambria Math"/>
                <w:oMath/>
              </w:rPr>
            </w:pPr>
            <m:oMathPara>
              <m:oMath>
                <m:sSub>
                  <m:sSubPr>
                    <m:ctrlPr>
                      <w:rPr>
                        <w:rFonts w:ascii="Cambria Math" w:hAnsi="Cambria Math" w:eastAsia="sans-serif"/>
                      </w:rPr>
                    </m:ctrlPr>
                  </m:sSubPr>
                  <m:e>
                    <m:r>
                      <m:rPr/>
                      <w:rPr>
                        <w:rFonts w:ascii="Cambria Math" w:hAnsi="Cambria Math" w:eastAsia="sans-serif"/>
                      </w:rPr>
                      <m:t>D</m:t>
                    </m:r>
                    <m:ctrlPr>
                      <w:rPr>
                        <w:rFonts w:ascii="Cambria Math" w:hAnsi="Cambria Math" w:eastAsia="sans-serif"/>
                      </w:rPr>
                    </m:ctrlPr>
                  </m:e>
                  <m:sub>
                    <m:r>
                      <m:rPr/>
                      <w:rPr>
                        <w:rFonts w:ascii="Cambria Math" w:hAnsi="Cambria Math" w:eastAsia="sans-serif"/>
                      </w:rPr>
                      <m:t>KL</m:t>
                    </m:r>
                    <m:ctrlPr>
                      <w:rPr>
                        <w:rFonts w:ascii="Cambria Math" w:hAnsi="Cambria Math" w:eastAsia="sans-serif"/>
                      </w:rPr>
                    </m:ctrlPr>
                  </m:sub>
                </m:sSub>
                <m:r>
                  <m:rPr/>
                  <w:rPr>
                    <w:rFonts w:ascii="Cambria Math" w:hAnsi="Cambria Math" w:eastAsia="sans-serif"/>
                  </w:rPr>
                  <m:t>(P∥Q)=</m:t>
                </m:r>
                <m:nary>
                  <m:naryPr>
                    <m:limLoc m:val="subSup"/>
                    <m:ctrlPr>
                      <w:rPr>
                        <w:rFonts w:ascii="Cambria Math" w:hAnsi="Cambria Math" w:eastAsia="sans-serif"/>
                      </w:rPr>
                    </m:ctrlPr>
                  </m:naryPr>
                  <m:sub>
                    <m:r>
                      <m:rPr/>
                      <w:rPr>
                        <w:rFonts w:ascii="Cambria Math" w:hAnsi="Cambria Math" w:eastAsia="sans-serif"/>
                      </w:rPr>
                      <m:t>−∞</m:t>
                    </m:r>
                    <m:ctrlPr>
                      <w:rPr>
                        <w:rFonts w:ascii="Cambria Math" w:hAnsi="Cambria Math" w:eastAsia="sans-serif"/>
                      </w:rPr>
                    </m:ctrlPr>
                  </m:sub>
                  <m:sup>
                    <m:r>
                      <m:rPr/>
                      <w:rPr>
                        <w:rFonts w:ascii="Cambria Math" w:hAnsi="Cambria Math" w:eastAsia="sans-serif"/>
                      </w:rPr>
                      <m:t>∞</m:t>
                    </m:r>
                    <m:ctrlPr>
                      <w:rPr>
                        <w:rFonts w:ascii="Cambria Math" w:hAnsi="Cambria Math" w:eastAsia="sans-serif"/>
                      </w:rPr>
                    </m:ctrlPr>
                  </m:sup>
                  <m:e>
                    <m:r>
                      <m:rPr/>
                      <w:rPr>
                        <w:rFonts w:ascii="Cambria Math" w:hAnsi="Cambria Math" w:eastAsia="sans-serif"/>
                      </w:rPr>
                      <m:t>p</m:t>
                    </m:r>
                    <m:ctrlPr>
                      <w:rPr>
                        <w:rFonts w:ascii="Cambria Math" w:hAnsi="Cambria Math" w:eastAsia="sans-serif"/>
                      </w:rPr>
                    </m:ctrlPr>
                  </m:e>
                </m:nary>
                <m:r>
                  <m:rPr/>
                  <w:rPr>
                    <w:rFonts w:ascii="Cambria Math" w:hAnsi="Cambria Math" w:eastAsia="sans-serif"/>
                  </w:rPr>
                  <m:t>(x)</m:t>
                </m:r>
                <m:func>
                  <m:funcPr>
                    <m:ctrlPr>
                      <w:rPr>
                        <w:rFonts w:ascii="Cambria Math" w:hAnsi="Cambria Math" w:eastAsia="sans-serif"/>
                      </w:rPr>
                    </m:ctrlPr>
                  </m:funcPr>
                  <m:fName>
                    <m:r>
                      <m:rPr>
                        <m:sty m:val="p"/>
                      </m:rPr>
                      <w:rPr>
                        <w:rFonts w:ascii="Cambria Math" w:hAnsi="Cambria Math" w:eastAsia="sans-serif"/>
                      </w:rPr>
                      <m:t>log</m:t>
                    </m:r>
                    <m:ctrlPr>
                      <w:rPr>
                        <w:rFonts w:ascii="Cambria Math" w:hAnsi="Cambria Math" w:eastAsia="sans-serif"/>
                      </w:rPr>
                    </m:ctrlPr>
                  </m:fName>
                  <m:e>
                    <m:f>
                      <m:fPr>
                        <m:ctrlPr>
                          <w:rPr>
                            <w:rFonts w:ascii="Cambria Math" w:hAnsi="Cambria Math" w:eastAsia="sans-serif"/>
                          </w:rPr>
                        </m:ctrlPr>
                      </m:fPr>
                      <m:num>
                        <m:r>
                          <m:rPr/>
                          <w:rPr>
                            <w:rFonts w:ascii="Cambria Math" w:hAnsi="Cambria Math" w:eastAsia="sans-serif"/>
                          </w:rPr>
                          <m:t>p(x)</m:t>
                        </m:r>
                        <m:ctrlPr>
                          <w:rPr>
                            <w:rFonts w:ascii="Cambria Math" w:hAnsi="Cambria Math" w:eastAsia="sans-serif"/>
                          </w:rPr>
                        </m:ctrlPr>
                      </m:num>
                      <m:den>
                        <m:r>
                          <m:rPr/>
                          <w:rPr>
                            <w:rFonts w:ascii="Cambria Math" w:hAnsi="Cambria Math" w:eastAsia="sans-serif"/>
                          </w:rPr>
                          <m:t>q(x)</m:t>
                        </m:r>
                        <m:ctrlPr>
                          <w:rPr>
                            <w:rFonts w:ascii="Cambria Math" w:hAnsi="Cambria Math" w:eastAsia="sans-serif"/>
                          </w:rPr>
                        </m:ctrlPr>
                      </m:den>
                    </m:f>
                    <m:ctrlPr>
                      <w:rPr>
                        <w:rFonts w:ascii="Cambria Math" w:hAnsi="Cambria Math" w:eastAsia="sans-serif"/>
                      </w:rPr>
                    </m:ctrlPr>
                  </m:e>
                </m:func>
                <m:r>
                  <m:rPr/>
                  <w:rPr>
                    <w:rFonts w:ascii="Cambria Math" w:hAnsi="Cambria Math" w:eastAsia="sans-serif"/>
                  </w:rPr>
                  <m:t>dx</m:t>
                </m:r>
              </m:oMath>
            </m:oMathPara>
          </w:p>
        </w:tc>
        <w:tc>
          <w:tcPr>
            <w:tcW w:w="1291" w:type="dxa"/>
            <w:tcBorders>
              <w:top w:val="nil"/>
              <w:left w:val="nil"/>
              <w:bottom w:val="nil"/>
              <w:right w:val="nil"/>
            </w:tcBorders>
            <w:vAlign w:val="bottom"/>
          </w:tcPr>
          <w:p w14:paraId="23ED4F2E">
            <w:pPr>
              <w:pStyle w:val="6"/>
              <w:ind w:firstLine="0"/>
              <w:jc w:val="right"/>
              <w:rPr>
                <w:rStyle w:val="19"/>
                <w:rFonts w:hint="eastAsia"/>
              </w:rPr>
            </w:pPr>
            <w:r>
              <w:rPr>
                <w:rStyle w:val="19"/>
                <w:rFonts w:hint="eastAsia"/>
              </w:rPr>
              <w:t>(19)</w:t>
            </w:r>
          </w:p>
        </w:tc>
      </w:tr>
    </w:tbl>
    <w:p w14:paraId="14D84FA0">
      <w:pPr>
        <w:pStyle w:val="5"/>
      </w:pPr>
      <w:r>
        <w:rPr>
          <w:rFonts w:hint="eastAsia"/>
        </w:rPr>
        <w:t xml:space="preserve">5.2.3 </w:t>
      </w:r>
      <w:r>
        <w:t>共有差异表达基因</w:t>
      </w:r>
    </w:p>
    <w:p w14:paraId="4FD47BE5">
      <w:pPr>
        <w:ind w:firstLine="480" w:firstLineChars="200"/>
        <w:rPr>
          <w:rFonts w:hint="eastAsia"/>
        </w:rPr>
      </w:pPr>
      <w:r>
        <w:rPr>
          <w:rFonts w:hint="eastAsia"/>
        </w:rPr>
        <w:t>该指标直接评估扰动下预测差异表达基因（DEGs）的准确性，对于生物学可解释性和下游功能分析重要。共有差异表达基因指标定义为，在预测出的最显著差异表达基因中，真实的最显著差异表达基因所占的比例。该指标的值越大，表明模型的预测性能越好。</w:t>
      </w:r>
    </w:p>
    <w:p w14:paraId="0BBD74CD">
      <w:pPr>
        <w:pStyle w:val="4"/>
        <w:rPr>
          <w:rFonts w:hint="eastAsia"/>
        </w:rPr>
      </w:pPr>
      <w:r>
        <w:rPr>
          <w:rFonts w:hint="eastAsia"/>
        </w:rPr>
        <w:t>5.3 比较基准</w:t>
      </w:r>
    </w:p>
    <w:p w14:paraId="3402512D">
      <w:pPr>
        <w:pStyle w:val="5"/>
      </w:pPr>
      <w:r>
        <w:rPr>
          <w:rFonts w:hint="eastAsia"/>
        </w:rPr>
        <w:t>5.3.1 深度学习基准模型</w:t>
      </w:r>
    </w:p>
    <w:p w14:paraId="636AAEAA">
      <w:pPr>
        <w:spacing w:line="12" w:lineRule="atLeast"/>
        <w:ind w:firstLine="480" w:firstLineChars="200"/>
        <w:rPr>
          <w:rFonts w:hAnsi="Cambria Math" w:eastAsiaTheme="minorEastAsia"/>
          <w:iCs/>
        </w:rPr>
      </w:pPr>
      <w:r>
        <w:rPr>
          <w:rFonts w:hAnsi="Cambria Math" w:eastAsiaTheme="minorEastAsia"/>
          <w:iCs/>
        </w:rPr>
        <w:t>scGen 是一个</w:t>
      </w:r>
      <w:r>
        <w:rPr>
          <w:rFonts w:hint="eastAsia" w:hAnsi="Cambria Math" w:eastAsiaTheme="minorEastAsia"/>
          <w:iCs/>
        </w:rPr>
        <w:t>基于</w:t>
      </w:r>
      <w:r>
        <w:rPr>
          <w:rFonts w:hAnsi="Cambria Math" w:eastAsiaTheme="minorEastAsia"/>
          <w:iCs/>
        </w:rPr>
        <w:t>变分自编码器</w:t>
      </w:r>
      <w:r>
        <w:rPr>
          <w:rFonts w:hint="eastAsia" w:hAnsi="Cambria Math" w:eastAsiaTheme="minorEastAsia"/>
          <w:iCs/>
        </w:rPr>
        <w:t>（VAE）</w:t>
      </w:r>
      <w:r>
        <w:rPr>
          <w:rFonts w:hAnsi="Cambria Math" w:eastAsiaTheme="minorEastAsia"/>
          <w:iCs/>
        </w:rPr>
        <w:t>和潜空间算术</w:t>
      </w:r>
      <w:r>
        <w:rPr>
          <w:rFonts w:hint="eastAsia" w:hAnsi="Cambria Math" w:eastAsiaTheme="minorEastAsia"/>
          <w:iCs/>
        </w:rPr>
        <w:t>的深度学习模型</w:t>
      </w:r>
      <w:r>
        <w:rPr>
          <w:rFonts w:hAnsi="Cambria Math" w:eastAsiaTheme="minorEastAsia"/>
          <w:iCs/>
        </w:rPr>
        <w:t>，用于预测单</w:t>
      </w:r>
      <w:r>
        <w:rPr>
          <w:rFonts w:hint="eastAsia" w:hAnsi="Cambria Math" w:eastAsiaTheme="minorEastAsia"/>
          <w:iCs/>
        </w:rPr>
        <w:t>细胞</w:t>
      </w:r>
      <w:r>
        <w:rPr>
          <w:rFonts w:hAnsi="Cambria Math" w:eastAsiaTheme="minorEastAsia"/>
          <w:iCs/>
        </w:rPr>
        <w:t>级</w:t>
      </w:r>
      <w:r>
        <w:rPr>
          <w:rFonts w:hint="eastAsia" w:hAnsi="Cambria Math" w:eastAsiaTheme="minorEastAsia"/>
          <w:iCs/>
        </w:rPr>
        <w:t>扰动</w:t>
      </w:r>
      <w:r>
        <w:rPr>
          <w:rFonts w:hAnsi="Cambria Math" w:eastAsiaTheme="minorEastAsia"/>
          <w:iCs/>
        </w:rPr>
        <w:t>响应</w:t>
      </w:r>
      <w:r>
        <w:rPr>
          <w:rFonts w:hint="eastAsia" w:hAnsi="Cambria Math" w:eastAsiaTheme="minorEastAsia"/>
          <w:iCs/>
        </w:rPr>
        <w:t>，能够跨细胞背景进行预测</w:t>
      </w:r>
      <w:r>
        <w:rPr>
          <w:rFonts w:hAnsi="Cambria Math" w:eastAsiaTheme="minorEastAsia"/>
          <w:iCs/>
        </w:rPr>
        <w:fldChar w:fldCharType="begin"/>
      </w:r>
      <w:r>
        <w:rPr>
          <w:rFonts w:hAnsi="Cambria Math" w:eastAsiaTheme="minorEastAsia"/>
          <w:iCs/>
        </w:rPr>
        <w:instrText xml:space="preserve"> ADDIN ZOTERO_ITEM CSL_CITATION {"citationID":"BhL0vfhJ","properties":{"unsorted":false,"formattedCitation":"\\super [7]\\nosupersub{}","plainCitation":"[7]","noteIndex":0},"citationItems":[{"id":1266,"uris":["http://zotero.org/users/18282877/items/3UHQE949"],"itemData":{"id":1266,"type":"article-journal","container-title":"Nature Methods","DOI":"10.1038/s41592-019-0494-8","ISSN":"1548-7091, 1548-7105","issue":"8","journalAbbreviation":"Nat Methods","language":"en","page":"715-721","source":"DOI.org (Crossref)","title":"scGen predicts single-cell perturbation responses","volume":"16","author":[{"family":"Lotfollahi","given":"Mohammad"},{"family":"Wolf","given":"F. Alexander"},{"family":"Theis","given":"Fabian J."}],"issued":{"date-parts":[["2019",8]]}}}],"schema":"https://github.com/citation-style-language/schema/raw/master/csl-citation.json"} </w:instrText>
      </w:r>
      <w:r>
        <w:rPr>
          <w:rFonts w:hAnsi="Cambria Math" w:eastAsiaTheme="minorEastAsia"/>
          <w:iCs/>
        </w:rPr>
        <w:fldChar w:fldCharType="separate"/>
      </w:r>
      <w:r>
        <w:rPr>
          <w:rFonts w:cs="Times New Roman"/>
          <w:vertAlign w:val="superscript"/>
        </w:rPr>
        <w:t>[7]</w:t>
      </w:r>
      <w:r>
        <w:rPr>
          <w:rFonts w:hAnsi="Cambria Math" w:eastAsiaTheme="minorEastAsia"/>
          <w:iCs/>
        </w:rPr>
        <w:fldChar w:fldCharType="end"/>
      </w:r>
      <w:r>
        <w:rPr>
          <w:rFonts w:hAnsi="Cambria Math" w:eastAsiaTheme="minorEastAsia"/>
          <w:iCs/>
        </w:rPr>
        <w:t>。</w:t>
      </w:r>
    </w:p>
    <w:p w14:paraId="701EFEFE">
      <w:pPr>
        <w:spacing w:line="12" w:lineRule="atLeast"/>
        <w:ind w:firstLine="480" w:firstLineChars="200"/>
        <w:rPr>
          <w:rFonts w:hAnsi="Cambria Math" w:eastAsiaTheme="minorEastAsia"/>
          <w:iCs/>
        </w:rPr>
      </w:pPr>
      <w:r>
        <w:rPr>
          <w:rFonts w:hAnsi="Cambria Math" w:eastAsiaTheme="minorEastAsia"/>
          <w:iCs/>
        </w:rPr>
        <w:t>CPA是一种基于自编码器的</w:t>
      </w:r>
      <w:r>
        <w:rPr>
          <w:rFonts w:hint="eastAsia" w:hAnsi="Cambria Math" w:eastAsiaTheme="minorEastAsia"/>
          <w:iCs/>
        </w:rPr>
        <w:t>深度学习模型，用于预测</w:t>
      </w:r>
      <w:r>
        <w:rPr>
          <w:rFonts w:hAnsi="Cambria Math" w:eastAsiaTheme="minorEastAsia"/>
          <w:iCs/>
        </w:rPr>
        <w:t>单细胞</w:t>
      </w:r>
      <w:r>
        <w:rPr>
          <w:rFonts w:hint="eastAsia" w:hAnsi="Cambria Math" w:eastAsiaTheme="minorEastAsia"/>
          <w:iCs/>
        </w:rPr>
        <w:t>组合扰动</w:t>
      </w:r>
      <w:r>
        <w:rPr>
          <w:rFonts w:hAnsi="Cambria Math" w:eastAsiaTheme="minorEastAsia"/>
          <w:iCs/>
        </w:rPr>
        <w:t>响应。在扰动</w:t>
      </w:r>
      <w:r>
        <w:rPr>
          <w:rFonts w:hint="eastAsia" w:hAnsi="Cambria Math" w:eastAsiaTheme="minorEastAsia"/>
          <w:iCs/>
        </w:rPr>
        <w:t>泛化</w:t>
      </w:r>
      <w:r>
        <w:rPr>
          <w:rFonts w:hAnsi="Cambria Math" w:eastAsiaTheme="minorEastAsia"/>
          <w:iCs/>
        </w:rPr>
        <w:t>场景中，CPA通过用预训练嵌入替换可学习的基因嵌入，使其能够处理</w:t>
      </w:r>
      <w:r>
        <w:rPr>
          <w:rFonts w:hint="eastAsia" w:hAnsi="Cambria Math" w:eastAsiaTheme="minorEastAsia"/>
          <w:iCs/>
        </w:rPr>
        <w:t>未见</w:t>
      </w:r>
      <w:r>
        <w:rPr>
          <w:rFonts w:hAnsi="Cambria Math" w:eastAsiaTheme="minorEastAsia"/>
          <w:iCs/>
        </w:rPr>
        <w:t>的</w:t>
      </w:r>
      <w:r>
        <w:rPr>
          <w:rFonts w:hint="eastAsia" w:hAnsi="Cambria Math" w:eastAsiaTheme="minorEastAsia"/>
          <w:iCs/>
        </w:rPr>
        <w:t>基因</w:t>
      </w:r>
      <w:r>
        <w:rPr>
          <w:rFonts w:hAnsi="Cambria Math" w:eastAsiaTheme="minorEastAsia"/>
          <w:iCs/>
        </w:rPr>
        <w:t>扰动</w:t>
      </w:r>
      <w:r>
        <w:rPr>
          <w:rFonts w:hAnsi="Cambria Math" w:eastAsiaTheme="minorEastAsia"/>
          <w:iCs/>
        </w:rPr>
        <w:fldChar w:fldCharType="begin"/>
      </w:r>
      <w:r>
        <w:rPr>
          <w:rFonts w:hAnsi="Cambria Math" w:eastAsiaTheme="minorEastAsia"/>
          <w:iCs/>
        </w:rPr>
        <w:instrText xml:space="preserve"> ADDIN ZOTERO_ITEM CSL_CITATION {"citationID":"52wd7EUe","properties":{"unsorted":false,"formattedCitation":"\\super [8]\\nosupersub{}","plainCitation":"[8]","noteIndex":0},"citationItems":[{"id":1259,"uris":["http://zotero.org/users/18282877/items/3YDJUCF7"],"itemData":{"id":1259,"type":"article-journal","abstract":"Recent advances in multiplexed single-cell transcriptomics experiments facilitate the high-throughput study of drug and genetic perturbations. However, an exhaustive exploration of the combinatorial perturbation space is experimentally unfeasible. Therefore, computational methods are needed to predict, interpret, and prioritize perturbations. Here, we present the compositional perturbation autoencoder (CPA), which combines the interpretability of linear models with the flexibility of deep-learning approaches for single-cell response modeling. CPA learns to in silico predict transcriptional perturbation response at the single-cell level for unseen dosages, cell types, time points, and species. Using newly generated single-cell drug combination data, we validate that CPA can predict unseen drug combinations while outperforming baseline models. Additionally, the architecture’s modularity enables incorporating the chemical representation of the drugs, allowing the prediction of cellular response to completely unseen drugs. Furthermore, CPA is also applicable to genetic combinatorial screens. We demonstrate this by imputing in silico 5,329 missing combinations (97.6% of all possibilities) in a single-cell Perturb-seq experiment with diverse genetic interactions. We envision CPA will facilitate efficient experimental design and hypothesis generation by enabling in silico response prediction at the single-cell level and thus accelerate therapeutic applications using single-cell technologies.","container-title":"Molecular Systems Biology","DOI":"10.15252/msb.202211517","ISSN":"1744-4292, 1744-4292","issue":"6","journalAbbreviation":"Molecular Systems Biology","language":"en","page":"e11517","source":</w:instrText>
      </w:r>
      <w:r>
        <w:rPr>
          <w:rFonts w:hint="eastAsia" w:hAnsi="Cambria Math" w:eastAsiaTheme="minorEastAsia"/>
          <w:iCs/>
        </w:rPr>
        <w:instrText xml:space="preserve">"DOI.org (Crossref)","title":"Predicting cellular responses to complex perturbations in high‐throughput screens","volume":"19","author":[{"family":"Lotfollahi","given":"Mohammad"},{"family":"Klimovskaia Susmelj","given":"Anna"},{"family":"De Donno","given</w:instrText>
      </w:r>
      <w:r>
        <w:rPr>
          <w:rFonts w:hAnsi="Cambria Math" w:eastAsiaTheme="minorEastAsia"/>
          <w:iCs/>
        </w:rPr>
        <w:instrText xml:space="preserve">":"Carlo"},{"family":"Hetzel","given":"Leon"},{"family":"Ji","given":"Yuge"},{"family":"Ibarra","given":"Ignacio L"},{"family":"Srivatsan","given":"Sanjay R"},{"family":"Naghipourfar","given":"Mohsen"},{"family":"Daza","given":"Riza M"},{"family":"Martin"</w:instrText>
      </w:r>
      <w:r>
        <w:rPr>
          <w:rFonts w:hint="eastAsia" w:hAnsi="Cambria Math" w:eastAsiaTheme="minorEastAsia"/>
          <w:iCs/>
        </w:rPr>
        <w:instrText xml:space="preserve">,"given":"Beth"},{"family":"Shendure","given":"Jay"},{"family":"McFaline‐Figueroa","given":"Jose L"},{"family":"Boyeau","given":"Pierre"},{"family":"Wolf","given":"F Alexander"},{"family":"Yakubova","given":"Nafissa"},{"family":"Günnemann","given":"Stephan"},{"family":"Trapnell","given":"Cole"},{"family":"Lopez‐Paz","given":"David"},{"family":"Theis","given":"Fabian J"}],"issued":{"date-parts":[["2023",6,12]]}}}],"schema":"https://github.com/citation-style-language/schema/raw/master/csl-citation.json"} </w:instrText>
      </w:r>
      <w:r>
        <w:rPr>
          <w:rFonts w:hAnsi="Cambria Math" w:eastAsiaTheme="minorEastAsia"/>
          <w:iCs/>
        </w:rPr>
        <w:fldChar w:fldCharType="separate"/>
      </w:r>
      <w:r>
        <w:rPr>
          <w:rFonts w:cs="Times New Roman"/>
          <w:vertAlign w:val="superscript"/>
        </w:rPr>
        <w:t>[8]</w:t>
      </w:r>
      <w:r>
        <w:rPr>
          <w:rFonts w:hAnsi="Cambria Math" w:eastAsiaTheme="minorEastAsia"/>
          <w:iCs/>
        </w:rPr>
        <w:fldChar w:fldCharType="end"/>
      </w:r>
      <w:r>
        <w:rPr>
          <w:rFonts w:hAnsi="Cambria Math" w:eastAsiaTheme="minorEastAsia"/>
          <w:iCs/>
        </w:rPr>
        <w:t>。</w:t>
      </w:r>
    </w:p>
    <w:p w14:paraId="79F0B8B7">
      <w:pPr>
        <w:spacing w:line="12" w:lineRule="atLeast"/>
        <w:ind w:firstLine="480" w:firstLineChars="200"/>
        <w:rPr>
          <w:rFonts w:hAnsi="Cambria Math" w:eastAsiaTheme="minorEastAsia"/>
          <w:iCs/>
        </w:rPr>
      </w:pPr>
      <w:r>
        <w:rPr>
          <w:rFonts w:hAnsi="Cambria Math" w:eastAsiaTheme="minorEastAsia"/>
          <w:iCs/>
        </w:rPr>
        <w:t>GEARS</w:t>
      </w:r>
      <w:r>
        <w:rPr>
          <w:rFonts w:hint="eastAsia" w:hAnsi="Cambria Math" w:eastAsiaTheme="minorEastAsia"/>
          <w:iCs/>
        </w:rPr>
        <w:t>通过图神经网络（GNN）</w:t>
      </w:r>
      <w:r>
        <w:rPr>
          <w:rFonts w:hAnsi="Cambria Math" w:eastAsiaTheme="minorEastAsia"/>
          <w:iCs/>
        </w:rPr>
        <w:t>将深度学习与</w:t>
      </w:r>
      <w:r>
        <w:rPr>
          <w:rFonts w:hint="eastAsia" w:hAnsi="Cambria Math" w:eastAsiaTheme="minorEastAsia"/>
          <w:iCs/>
        </w:rPr>
        <w:t>基因调控网络的先验知识</w:t>
      </w:r>
      <w:r>
        <w:rPr>
          <w:rFonts w:hAnsi="Cambria Math" w:eastAsiaTheme="minorEastAsia"/>
          <w:iCs/>
        </w:rPr>
        <w:t>结合，</w:t>
      </w:r>
      <w:r>
        <w:rPr>
          <w:rFonts w:hint="eastAsia" w:hAnsi="Cambria Math" w:eastAsiaTheme="minorEastAsia"/>
          <w:iCs/>
        </w:rPr>
        <w:t>达成未见基因扰动场景的泛化能力</w:t>
      </w:r>
      <w:r>
        <w:rPr>
          <w:rFonts w:hAnsi="Cambria Math" w:eastAsiaTheme="minorEastAsia"/>
          <w:iCs/>
        </w:rPr>
        <w:fldChar w:fldCharType="begin"/>
      </w:r>
      <w:r>
        <w:rPr>
          <w:rFonts w:hAnsi="Cambria Math" w:eastAsiaTheme="minorEastAsia"/>
          <w:iCs/>
        </w:rPr>
        <w:instrText xml:space="preserve"> ADDIN ZOTERO_ITEM CSL_CITATION {"citationID":"uPXq660J","properties":{"unsorted":false,"formattedCitation":"\\super [3]\\nosupersub{}","plainCitation":"[3]","noteIndex":0},"citationItems":[{"id":1253,"uris":["http://zotero.org/users/18282877/items/7JYSP537"],"itemData":{"id":1253,"type":"article-journal","abstract":"Understanding cellular responses to genetic perturbation is central to numerous biomedical applications, from identifying genetic interactions involved in cancer to developing methods for regenerative medicine. However, the combinatorial explosion in the number of possible multigene perturbations severely limits experimental interrogation. Here, we present graph-enhanced gene activation and repression simulator (GEARS), a method that integrates deep learning with a knowledge graph of gene–gene relationships to predict transcriptional responses to both single and multigene perturbations using single-cell RNA-sequencing data from perturbational screens. GEARS is able to predict outcomes of perturbing combinations consisting of genes that were never experimentally perturbed. GEARS exhibited 40% higher precision than existing approaches in predicting four distinct genetic interaction subtypes in a combinatorial perturbation screen and identified the strongest interactions twice as well as prior approaches. Overall, GEARS can predict phenotypically distinct effects of multigene perturbations and thus guide the design of perturbational experiments.","container-title":"Nature Biotechnology","DOI":"10.1038/s41587-023-01905-6","ISSN":"1546-1696","issue":"6","journalAbbreviation":"Nat Biotechnol","language":"en","license":"2023 The Author(s)","page":"927-935","publisher":"Nature Publishing Group","source":"www.nature.com","title":"Predicting transcriptional outcomes of novel multigene perturbations with GEARS","volume":"42","author":[{"family":"Roohani","given":"Yusuf"},{"family":"Huang","given":"Kexin"},{"family":"Leskovec","given":"Jure"}],"issued":{"date-parts":[["2024",6]]}}}],"schema":"https://github.com/citation-style-language/schema/raw/master/csl-citation.json"} </w:instrText>
      </w:r>
      <w:r>
        <w:rPr>
          <w:rFonts w:hAnsi="Cambria Math" w:eastAsiaTheme="minorEastAsia"/>
          <w:iCs/>
        </w:rPr>
        <w:fldChar w:fldCharType="separate"/>
      </w:r>
      <w:r>
        <w:rPr>
          <w:rFonts w:cs="Times New Roman"/>
          <w:vertAlign w:val="superscript"/>
        </w:rPr>
        <w:t>[3]</w:t>
      </w:r>
      <w:r>
        <w:rPr>
          <w:rFonts w:hAnsi="Cambria Math" w:eastAsiaTheme="minorEastAsia"/>
          <w:iCs/>
        </w:rPr>
        <w:fldChar w:fldCharType="end"/>
      </w:r>
      <w:r>
        <w:rPr>
          <w:rFonts w:hAnsi="Cambria Math" w:eastAsiaTheme="minorEastAsia"/>
          <w:iCs/>
        </w:rPr>
        <w:t>。</w:t>
      </w:r>
    </w:p>
    <w:p w14:paraId="35F2CD05">
      <w:pPr>
        <w:spacing w:line="12" w:lineRule="atLeast"/>
        <w:ind w:firstLine="480" w:firstLineChars="200"/>
        <w:rPr>
          <w:rFonts w:hAnsi="Cambria Math" w:eastAsiaTheme="minorEastAsia"/>
          <w:iCs/>
        </w:rPr>
      </w:pPr>
      <w:r>
        <w:rPr>
          <w:rFonts w:hAnsi="Cambria Math" w:eastAsiaTheme="minorEastAsia"/>
          <w:iCs/>
        </w:rPr>
        <w:t>Squidiff</w:t>
      </w:r>
      <w:r>
        <w:rPr>
          <w:rFonts w:hint="eastAsia" w:hAnsi="Cambria Math" w:eastAsiaTheme="minorEastAsia"/>
          <w:iCs/>
        </w:rPr>
        <w:t>是一个基于扩散自编码器（Diff-AE）的深度学习模型，用于</w:t>
      </w:r>
      <w:r>
        <w:rPr>
          <w:rFonts w:hAnsi="Cambria Math" w:eastAsiaTheme="minorEastAsia"/>
          <w:iCs/>
        </w:rPr>
        <w:t>捕捉</w:t>
      </w:r>
      <w:r>
        <w:rPr>
          <w:rFonts w:hint="eastAsia" w:hAnsi="Cambria Math" w:eastAsiaTheme="minorEastAsia"/>
          <w:iCs/>
        </w:rPr>
        <w:t>发育、基因/药物扰动等场景的</w:t>
      </w:r>
      <w:r>
        <w:rPr>
          <w:rFonts w:hAnsi="Cambria Math" w:eastAsiaTheme="minorEastAsia"/>
          <w:iCs/>
        </w:rPr>
        <w:t>非线性效应</w:t>
      </w:r>
      <w:r>
        <w:rPr>
          <w:rFonts w:hAnsi="Cambria Math" w:eastAsiaTheme="minorEastAsia"/>
          <w:iCs/>
        </w:rPr>
        <w:fldChar w:fldCharType="begin"/>
      </w:r>
      <w:r>
        <w:rPr>
          <w:rFonts w:hAnsi="Cambria Math" w:eastAsiaTheme="minorEastAsia"/>
          <w:iCs/>
        </w:rPr>
        <w:instrText xml:space="preserve"> ADDIN ZOTERO_ITEM CSL_CITATION {"citationID":"6rg7BnkK","properties":{"unsorted":false,"formattedCitation":"\\super [5]\\nosupersub{}","plainCitation":"[5]","noteIndex":0},"citationItems":[{"id":642,"uris":["http://zotero.org/users/18282877/items/E92GVTLV"],"itemData":{"id":642,"type":"article-journal","abstract":"Single-cell sequencing has revolutionized our understanding of cellular heterogeneity and responses to environmental stimuli. However, mapping transcriptomic changes across diverse cell types in response to various stimuli and elucidating underlying disease mechanisms remains challenging. Here we present Squidiff, a diffusion model-based generative framework that predicts transcriptomic changes across diverse cell types in response to environmental changes. We demonstrate the robustness of Squidiff across cell differentiation, gene perturbation and drug response prediction. Through continuous denoising and semantic feature integration, Squidiff learns transient cell states and predicts high-resolution transcriptomic landscapes over time and conditions. Furthermore, we applied Squidiff to model blood vessel organoid development and cellular responses to neutron irradiation and growth factors. Our results demonstrate that Squidiff enables in silico screening of molecular landscapes and cellular state transitions, facilitating rapid hypothesis generation and providing valuable insights into the regulatory principles of cell fate decisions.","container-title":"Nature Methods","DOI":"10.1038/s41592-025-02877-y","ISSN":"1548-7105","journalAbbreviation":"Nat Methods","language":"en","license":"2025 The Author(s), under exclusive licence to Springer Nature America, Inc.","page":"1-13","publisher":"Nature Publishing Group","source":"www.nature.com","title":"Squidiff: predicting cellular development and responses to perturbations using a diffusion model","title-short":"Squidiff","author":[{"family":"He","given":"Siyu"},{"family":"Zhu","given":"Yuefei"},{"family":"Tavakol","given":"Daniel Naveed"},{"family":"Ye","given":"Haotian"},{"family":"Lao","given":"Yeh-Hsing"},{"family":"Zhu","given":"Zixian"},{"family":"Xu","given":"Cong"},{"family":"Chauhan","given":"Shradha"},{"family":"Garty","given":"Guy"},{"family":"Tomer","given":"Raju"},{"family":"Vunjak-Novakovic","given":"Gordana"},{"family":"Zou","given":"James"},{"family":"Azizi","given":"Elham"},{"family":"Leong","given":"Kam W."}],"issued":{"date-parts":[["2025",11,3]]}}}],"schema":"https://github.com/citation-style-language/schema/raw/master/csl-citation.json"} </w:instrText>
      </w:r>
      <w:r>
        <w:rPr>
          <w:rFonts w:hAnsi="Cambria Math" w:eastAsiaTheme="minorEastAsia"/>
          <w:iCs/>
        </w:rPr>
        <w:fldChar w:fldCharType="separate"/>
      </w:r>
      <w:r>
        <w:rPr>
          <w:rFonts w:cs="Times New Roman"/>
          <w:vertAlign w:val="superscript"/>
        </w:rPr>
        <w:t>[5]</w:t>
      </w:r>
      <w:r>
        <w:rPr>
          <w:rFonts w:hAnsi="Cambria Math" w:eastAsiaTheme="minorEastAsia"/>
          <w:iCs/>
        </w:rPr>
        <w:fldChar w:fldCharType="end"/>
      </w:r>
      <w:r>
        <w:rPr>
          <w:rFonts w:hAnsi="Cambria Math" w:eastAsiaTheme="minorEastAsia"/>
          <w:iCs/>
        </w:rPr>
        <w:t>。</w:t>
      </w:r>
    </w:p>
    <w:p w14:paraId="4ECDC98B">
      <w:pPr>
        <w:pStyle w:val="5"/>
      </w:pPr>
      <w:r>
        <w:rPr>
          <w:rFonts w:hint="eastAsia"/>
        </w:rPr>
        <w:t>5.3.2 基线模型</w:t>
      </w:r>
    </w:p>
    <w:p w14:paraId="50BB0E8D">
      <w:pPr>
        <w:ind w:firstLine="480" w:firstLineChars="200"/>
        <w:rPr>
          <w:rFonts w:hint="eastAsia"/>
        </w:rPr>
      </w:pPr>
      <w:r>
        <w:rPr>
          <w:rFonts w:hint="eastAsia"/>
        </w:rPr>
        <w:t>线性模型</w:t>
      </w:r>
      <w:r>
        <w:rPr>
          <w:rFonts w:hint="eastAsia"/>
          <w:lang w:val="en-US" w:eastAsia="zh-CN"/>
        </w:rPr>
        <w:t>作为</w:t>
      </w:r>
      <w:r>
        <w:rPr>
          <w:rFonts w:hint="eastAsia"/>
        </w:rPr>
        <w:t>基线</w:t>
      </w:r>
      <w:r>
        <w:rPr>
          <w:rFonts w:hint="eastAsia"/>
          <w:lang w:eastAsia="zh-CN"/>
        </w:rPr>
        <w:t>，</w:t>
      </w:r>
      <w:r>
        <w:rPr>
          <w:rFonts w:hint="eastAsia"/>
        </w:rPr>
        <w:t>采用对照匹配的方法。给定一个受扰动的细胞</w:t>
      </w:r>
      <m:oMath>
        <m:r>
          <m:rPr/>
          <w:rPr>
            <w:rFonts w:ascii="Cambria Math"/>
          </w:rPr>
          <m:t>x'</m:t>
        </m:r>
      </m:oMath>
      <w:r>
        <w:rPr>
          <w:rFonts w:hint="eastAsia"/>
        </w:rPr>
        <w:t>，我们采样一个</w:t>
      </w:r>
      <w:bookmarkStart w:id="0" w:name="_GoBack"/>
      <w:bookmarkEnd w:id="0"/>
      <w:r>
        <w:rPr>
          <w:rFonts w:hint="eastAsia"/>
        </w:rPr>
        <w:t>随机对照细胞</w:t>
      </w:r>
      <m:oMath>
        <m:r>
          <m:rPr/>
          <w:rPr>
            <w:rFonts w:ascii="Cambria Math"/>
          </w:rPr>
          <m:t>x</m:t>
        </m:r>
      </m:oMath>
      <w:r>
        <w:rPr>
          <w:rFonts w:hint="eastAsia"/>
        </w:rPr>
        <w:t>，并通过在给定扰动的情况下应用一个线性层来重建</w:t>
      </w:r>
      <m:oMath>
        <m:r>
          <m:rPr/>
          <w:rPr>
            <w:rFonts w:ascii="Cambria Math"/>
          </w:rPr>
          <m:t>x'</m:t>
        </m:r>
      </m:oMath>
      <w:r>
        <w:rPr>
          <w:rFonts w:hint="eastAsia"/>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5851"/>
        <w:gridCol w:w="1270"/>
      </w:tblGrid>
      <w:tr w14:paraId="5871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303875C2">
            <w:pPr>
              <w:pStyle w:val="6"/>
              <w:rPr>
                <w:rFonts w:hint="eastAsia"/>
              </w:rPr>
            </w:pPr>
          </w:p>
        </w:tc>
        <w:tc>
          <w:tcPr>
            <w:tcW w:w="6020" w:type="dxa"/>
            <w:tcBorders>
              <w:top w:val="nil"/>
              <w:left w:val="nil"/>
              <w:bottom w:val="nil"/>
              <w:right w:val="nil"/>
            </w:tcBorders>
          </w:tcPr>
          <w:p w14:paraId="296A919E">
            <w:pPr>
              <w:pStyle w:val="6"/>
              <w:rPr>
                <w:rFonts w:hint="eastAsia" w:ascii="Cambria Math"/>
                <w:oMath/>
              </w:rPr>
            </w:pPr>
            <m:oMathPara>
              <m:oMath>
                <m:r>
                  <m:rPr/>
                  <w:rPr>
                    <w:rFonts w:ascii="Cambria Math"/>
                  </w:rPr>
                  <m:t>x'=x+</m:t>
                </m:r>
                <m:sSub>
                  <m:sSubPr>
                    <m:ctrlPr>
                      <w:rPr>
                        <w:rFonts w:ascii="Cambria Math" w:hAnsi="Cambria Math"/>
                      </w:rPr>
                    </m:ctrlPr>
                  </m:sSubPr>
                  <m:e>
                    <m:r>
                      <m:rPr/>
                      <w:rPr>
                        <w:rFonts w:ascii="Cambria Math"/>
                      </w:rPr>
                      <m:t>f</m:t>
                    </m:r>
                    <m:ctrlPr>
                      <w:rPr>
                        <w:rFonts w:ascii="Cambria Math" w:hAnsi="Cambria Math"/>
                      </w:rPr>
                    </m:ctrlPr>
                  </m:e>
                  <m:sub>
                    <m:r>
                      <m:rPr/>
                      <w:rPr>
                        <w:rFonts w:ascii="Cambria Math"/>
                      </w:rPr>
                      <m:t>linear</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one_hot</m:t>
                    </m:r>
                    <m:ctrlPr>
                      <w:rPr>
                        <w:rFonts w:ascii="Cambria Math" w:hAnsi="Cambria Math"/>
                      </w:rPr>
                    </m:ctrlPr>
                  </m:sub>
                </m:sSub>
                <m:r>
                  <m:rPr/>
                  <w:rPr>
                    <w:rFonts w:ascii="Cambria Math"/>
                  </w:rPr>
                  <m:t>),</m:t>
                </m:r>
              </m:oMath>
            </m:oMathPara>
          </w:p>
        </w:tc>
        <w:tc>
          <w:tcPr>
            <w:tcW w:w="1291" w:type="dxa"/>
            <w:tcBorders>
              <w:top w:val="nil"/>
              <w:left w:val="nil"/>
              <w:bottom w:val="nil"/>
              <w:right w:val="nil"/>
            </w:tcBorders>
            <w:vAlign w:val="bottom"/>
          </w:tcPr>
          <w:p w14:paraId="23BF7860">
            <w:pPr>
              <w:pStyle w:val="6"/>
              <w:ind w:firstLine="0"/>
              <w:jc w:val="right"/>
              <w:rPr>
                <w:rStyle w:val="19"/>
                <w:rFonts w:hint="eastAsia"/>
              </w:rPr>
            </w:pPr>
            <w:r>
              <w:rPr>
                <w:rStyle w:val="19"/>
                <w:rFonts w:hint="eastAsia"/>
              </w:rPr>
              <w:t>(20)</w:t>
            </w:r>
          </w:p>
        </w:tc>
      </w:tr>
    </w:tbl>
    <w:p w14:paraId="2E0CDA7A">
      <w:pPr>
        <w:ind w:firstLine="480" w:firstLineChars="200"/>
        <w:rPr>
          <w:rFonts w:hint="eastAsia"/>
        </w:rPr>
      </w:pPr>
      <w:r>
        <w:rPr>
          <w:rFonts w:hint="eastAsia"/>
        </w:rPr>
        <w:t>其中</w:t>
      </w:r>
      <m:oMath>
        <m:sSub>
          <m:sSubPr>
            <m:ctrlPr>
              <w:rPr>
                <w:rFonts w:ascii="Cambria Math" w:hAnsi="Cambria Math"/>
              </w:rPr>
            </m:ctrlPr>
          </m:sSubPr>
          <m:e>
            <m:r>
              <m:rPr/>
              <w:rPr>
                <w:rFonts w:ascii="Cambria Math"/>
              </w:rPr>
              <m:t>p</m:t>
            </m:r>
            <m:ctrlPr>
              <w:rPr>
                <w:rFonts w:ascii="Cambria Math" w:hAnsi="Cambria Math"/>
              </w:rPr>
            </m:ctrlPr>
          </m:e>
          <m:sub>
            <m:r>
              <m:rPr/>
              <w:rPr>
                <w:rFonts w:ascii="Cambria Math"/>
              </w:rPr>
              <m:t>one_hot</m:t>
            </m:r>
            <m:ctrlPr>
              <w:rPr>
                <w:rFonts w:ascii="Cambria Math" w:hAnsi="Cambria Math"/>
              </w:rPr>
            </m:ctrlPr>
          </m:sub>
        </m:sSub>
      </m:oMath>
      <w:r>
        <w:rPr>
          <w:rFonts w:hint="eastAsia"/>
        </w:rPr>
        <w:t>表示扰动的独热编码。</w:t>
      </w:r>
    </w:p>
    <w:p w14:paraId="5D71B146">
      <w:pPr>
        <w:pStyle w:val="3"/>
        <w:rPr>
          <w:rFonts w:hint="eastAsia"/>
          <w:lang w:bidi="ar"/>
        </w:rPr>
      </w:pPr>
      <w:r>
        <w:rPr>
          <w:rFonts w:hint="eastAsia"/>
          <w:lang w:bidi="ar"/>
        </w:rPr>
        <w:t>6 模型应用</w:t>
      </w:r>
    </w:p>
    <w:p w14:paraId="7F75253E">
      <w:pPr>
        <w:pStyle w:val="4"/>
        <w:rPr>
          <w:rFonts w:hint="eastAsia"/>
        </w:rPr>
      </w:pPr>
      <w:r>
        <w:rPr>
          <w:rFonts w:hint="eastAsia"/>
        </w:rPr>
        <w:t>6.1 分布外预测</w:t>
      </w:r>
    </w:p>
    <w:p w14:paraId="1DE80B34">
      <w:pPr>
        <w:ind w:firstLine="480" w:firstLineChars="200"/>
      </w:pPr>
      <w:r>
        <w:rPr>
          <w:rFonts w:hint="eastAsia"/>
        </w:rPr>
        <w:t>对于给定的对照细胞，模型可在潜空间中执行“移除源扰动、加入目标扰动”的操作（公式3），生成目标扰动条件下的扰动后细胞表达谱。</w:t>
      </w:r>
    </w:p>
    <w:p w14:paraId="79470967">
      <w:pPr>
        <w:ind w:firstLine="480" w:firstLineChars="200"/>
        <w:rPr>
          <w:rFonts w:hint="eastAsia"/>
        </w:rPr>
      </w:pPr>
      <w:r>
        <w:rPr>
          <w:rFonts w:hint="eastAsia"/>
        </w:rPr>
        <w:t>此外，通过输入训练集中未见的原始</w:t>
      </w:r>
      <w:r>
        <w:t>sgRNA效率值</w:t>
      </w:r>
      <w:r>
        <w:rPr>
          <w:rFonts w:hint="eastAsia"/>
        </w:rPr>
        <w:t>，模型能够预测生成对应条件下的扰动后细胞表达谱，实现分布外预测。</w:t>
      </w:r>
    </w:p>
    <w:p w14:paraId="699B4254">
      <w:pPr>
        <w:pStyle w:val="4"/>
        <w:rPr>
          <w:rFonts w:hint="eastAsia"/>
        </w:rPr>
      </w:pPr>
      <w:r>
        <w:rPr>
          <w:rFonts w:hint="eastAsia"/>
        </w:rPr>
        <w:t>6.2 跨细胞状态扰动响应预测</w:t>
      </w:r>
    </w:p>
    <w:p w14:paraId="0B836710">
      <w:pPr>
        <w:ind w:firstLine="480" w:firstLineChars="200"/>
      </w:pPr>
      <w:r>
        <w:rPr>
          <w:rFonts w:hint="eastAsia"/>
        </w:rPr>
        <w:t>模型可应用于同一扰动在不同细胞状态（如胚胎干细胞 vs. 分化内胚层）下的响应预测。通过在目标细胞状态上微调或在共享潜空间中进行条件干预，模型可揭示谱系特异性基因对转录因子剂量变化的响应模式，包括非线性响应和非单调响应。</w:t>
      </w:r>
    </w:p>
    <w:p w14:paraId="227269AA">
      <w:pPr>
        <w:pStyle w:val="3"/>
      </w:pPr>
      <w:r>
        <w:rPr>
          <w:rFonts w:hint="eastAsia"/>
        </w:rPr>
        <w:t>6.3 反事实生成</w:t>
      </w:r>
    </w:p>
    <w:p w14:paraId="46D997D3">
      <w:pPr>
        <w:ind w:firstLine="480" w:firstLineChars="200"/>
        <w:rPr>
          <w:rFonts w:hint="eastAsia"/>
        </w:rPr>
      </w:pPr>
      <w:r>
        <w:rPr>
          <w:rFonts w:hint="eastAsia"/>
        </w:rPr>
        <w:t>对于实验中设置的概念标签（如对照组和实验组、细胞系、组织类型），通过</w:t>
      </w:r>
      <w:r>
        <w:t>因果潜变量模块</w:t>
      </w:r>
      <w:r>
        <w:rPr>
          <w:rFonts w:hint="eastAsia"/>
        </w:rPr>
        <w:t>的干预操作，模型能够实现未见标签组合的反事实生成。</w:t>
      </w:r>
    </w:p>
    <w:p w14:paraId="3761D108">
      <w:pPr>
        <w:pStyle w:val="3"/>
        <w:rPr>
          <w:rFonts w:hint="eastAsia"/>
        </w:rPr>
      </w:pPr>
      <w:r>
        <w:rPr>
          <w:rFonts w:hint="eastAsia"/>
        </w:rPr>
        <w:t>参考文献</w:t>
      </w:r>
    </w:p>
    <w:p w14:paraId="785C2A8A">
      <w:pPr>
        <w:pStyle w:val="25"/>
      </w:pPr>
      <w:r>
        <w:rPr>
          <w:rFonts w:hAnsi="sans-serif" w:eastAsia="sans-serif" w:cs="sans-serif"/>
          <w:lang w:bidi="ar"/>
        </w:rPr>
        <w:fldChar w:fldCharType="begin"/>
      </w:r>
      <w:r>
        <w:rPr>
          <w:rFonts w:hAnsi="sans-serif" w:eastAsia="sans-serif" w:cs="sans-serif"/>
          <w:lang w:bidi="ar"/>
        </w:rPr>
        <w:instrText xml:space="preserve"> ADDIN ZOTERO_BIBL {"uncited":[],"omitted":[],"custom":[]} CSL_BIBLIOGRAPHY </w:instrText>
      </w:r>
      <w:r>
        <w:rPr>
          <w:rFonts w:hAnsi="sans-serif" w:eastAsia="sans-serif" w:cs="sans-serif"/>
          <w:lang w:bidi="ar"/>
        </w:rPr>
        <w:fldChar w:fldCharType="separate"/>
      </w:r>
      <w:r>
        <w:t>[1]</w:t>
      </w:r>
      <w:r>
        <w:tab/>
      </w:r>
      <w:r>
        <w:t>PREECHAKUL K, CHATTHEE N, WIZADWONGSA S, 等. Diffusion Autoencoders: Toward a Meaningful and Decodable Representation[C/OL]//2022 IEEE/CVF Conference on Computer Vision and Pattern Recognition (CVPR). New Orleans, LA, USA: IEEE, 2022: 10609-10619[2026-06-02]. https://ieeexplore.ieee.org/document/9878402/. DOI:10.1109/CVPR52688.2022.01036.</w:t>
      </w:r>
    </w:p>
    <w:p w14:paraId="02D8D8F6">
      <w:pPr>
        <w:pStyle w:val="25"/>
      </w:pPr>
      <w:r>
        <w:t>[2]</w:t>
      </w:r>
      <w:r>
        <w:tab/>
      </w:r>
      <w:r>
        <w:t>GAO Y, DONG K, SHAN C, 等. Causal disentanglement for single-cell representations and controllable counterfactual generation[A/OL]. Bioinformatics, 2024[2025-11-11]. http://biorxiv.org/lookup/doi/10.1101/2024.12.11.628077. DOI:10.1101/2024.12.11.628077.</w:t>
      </w:r>
    </w:p>
    <w:p w14:paraId="54080D56">
      <w:pPr>
        <w:pStyle w:val="25"/>
      </w:pPr>
      <w:r>
        <w:t>[3]</w:t>
      </w:r>
      <w:r>
        <w:tab/>
      </w:r>
      <w:r>
        <w:t>ROOHANI Y, HUANG K, LESKOVEC J. Predicting transcriptional outcomes of novel multigene perturbations with GEARS[J/OL]. Nature Biotechnology, 2024, 42(6): 927-935. DOI:10.1038/s41587-023-01905-6.</w:t>
      </w:r>
    </w:p>
    <w:p w14:paraId="53F49062">
      <w:pPr>
        <w:pStyle w:val="25"/>
      </w:pPr>
      <w:r>
        <w:t>[4]</w:t>
      </w:r>
      <w:r>
        <w:tab/>
      </w:r>
      <w:r>
        <w:t>LIU Y, LI H, WANG X. Rethinking Feature Discrimination and Polymerization for Large-scale Recognition[EB/OL]. (2017-10-02)[2026-06-02]. https://arxiv.org/abs/1710.00870v2.</w:t>
      </w:r>
    </w:p>
    <w:p w14:paraId="6853DEE9">
      <w:pPr>
        <w:pStyle w:val="25"/>
      </w:pPr>
      <w:r>
        <w:t>[5]</w:t>
      </w:r>
      <w:r>
        <w:tab/>
      </w:r>
      <w:r>
        <w:t>HE S, ZHU Y, TAVAKOL D N, 等. Squidiff: predicting cellular development and responses to perturbations using a diffusion model[J/OL]. Nature Methods, 2025: 1-13. DOI:10.1038/s41592-025-02877-y.</w:t>
      </w:r>
    </w:p>
    <w:p w14:paraId="749B6C47">
      <w:pPr>
        <w:pStyle w:val="25"/>
      </w:pPr>
      <w:r>
        <w:t>[6]</w:t>
      </w:r>
      <w:r>
        <w:tab/>
      </w:r>
      <w:r>
        <w:t>WEI Z, WANG Y, GAO Y, 等. Benchmarking algorithms for generalizable single-cell perturbation response prediction[J/OL]. Nature Methods, 2026, 23(2): 451-464. DOI:10.1038/s41592-025-02980-0.</w:t>
      </w:r>
    </w:p>
    <w:p w14:paraId="0995E59E">
      <w:pPr>
        <w:pStyle w:val="25"/>
      </w:pPr>
      <w:r>
        <w:t>[7]</w:t>
      </w:r>
      <w:r>
        <w:tab/>
      </w:r>
      <w:r>
        <w:t>LOTFOLLAHI M, WOLF F A, THEIS F J. scGen predicts single-cell perturbation responses[J/OL]. Nature Methods, 2019, 16(8): 715-721. DOI:10.1038/s41592-019-0494-8.</w:t>
      </w:r>
    </w:p>
    <w:p w14:paraId="5696A1C2">
      <w:pPr>
        <w:pStyle w:val="25"/>
      </w:pPr>
      <w:r>
        <w:t>[8]</w:t>
      </w:r>
      <w:r>
        <w:tab/>
      </w:r>
      <w:r>
        <w:t>LOTFOLLAHI M, KLIMOVSKAIA SUSMELJ A, DE DONNO C, 等. Predicting cellular responses to complex perturbations in high‐throughput screens[J/OL]. Molecular Systems Biology, 2023, 19(6): e11517. DOI:10.15252/msb.202211517.</w:t>
      </w:r>
    </w:p>
    <w:p w14:paraId="55C404D3">
      <w:pPr>
        <w:spacing w:line="12" w:lineRule="atLeast"/>
        <w:rPr>
          <w:rFonts w:hAnsi="sans-serif" w:eastAsia="sans-serif" w:cs="sans-serif"/>
          <w:lang w:bidi="ar"/>
        </w:rPr>
      </w:pPr>
      <w:r>
        <w:rPr>
          <w:rFonts w:hAnsi="sans-serif" w:eastAsia="sans-serif" w:cs="sans-serif"/>
          <w:lang w:bidi="ar"/>
        </w:rPr>
        <w:fldChar w:fldCharType="end"/>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宋体">
    <w:panose1 w:val="02010600030101010101"/>
    <w:charset w:val="86"/>
    <w:family w:val="auto"/>
    <w:pitch w:val="variable"/>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hideGrammaticalErrors/>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FBF"/>
    <w:rsid w:val="00074C82"/>
    <w:rsid w:val="00082810"/>
    <w:rsid w:val="000C045B"/>
    <w:rsid w:val="000D4393"/>
    <w:rsid w:val="001512ED"/>
    <w:rsid w:val="00152988"/>
    <w:rsid w:val="00162408"/>
    <w:rsid w:val="001F55E2"/>
    <w:rsid w:val="0020736C"/>
    <w:rsid w:val="002226D4"/>
    <w:rsid w:val="002278DF"/>
    <w:rsid w:val="002C59B5"/>
    <w:rsid w:val="002E1232"/>
    <w:rsid w:val="003C29CE"/>
    <w:rsid w:val="003C582D"/>
    <w:rsid w:val="004A1131"/>
    <w:rsid w:val="0050127E"/>
    <w:rsid w:val="005331A3"/>
    <w:rsid w:val="0058007E"/>
    <w:rsid w:val="005C0531"/>
    <w:rsid w:val="00693DF4"/>
    <w:rsid w:val="00694C1B"/>
    <w:rsid w:val="00784AA4"/>
    <w:rsid w:val="008A4ED8"/>
    <w:rsid w:val="008C3237"/>
    <w:rsid w:val="008D32B9"/>
    <w:rsid w:val="008E0AFA"/>
    <w:rsid w:val="00926258"/>
    <w:rsid w:val="0094164D"/>
    <w:rsid w:val="00A07796"/>
    <w:rsid w:val="00A21141"/>
    <w:rsid w:val="00BF0915"/>
    <w:rsid w:val="00D5420C"/>
    <w:rsid w:val="00D85335"/>
    <w:rsid w:val="00DE50B8"/>
    <w:rsid w:val="00EB7FBF"/>
    <w:rsid w:val="00EC38DF"/>
    <w:rsid w:val="00ED40CA"/>
    <w:rsid w:val="00F945E3"/>
    <w:rsid w:val="00FC3979"/>
    <w:rsid w:val="013D20BE"/>
    <w:rsid w:val="024251D4"/>
    <w:rsid w:val="04471107"/>
    <w:rsid w:val="072D058B"/>
    <w:rsid w:val="07347A92"/>
    <w:rsid w:val="0B8065E4"/>
    <w:rsid w:val="0E6724A8"/>
    <w:rsid w:val="0E76520D"/>
    <w:rsid w:val="0E871008"/>
    <w:rsid w:val="11AD6919"/>
    <w:rsid w:val="15733CEE"/>
    <w:rsid w:val="17FA4A5F"/>
    <w:rsid w:val="1B9A3B40"/>
    <w:rsid w:val="1E897AE9"/>
    <w:rsid w:val="203B74FB"/>
    <w:rsid w:val="2053114A"/>
    <w:rsid w:val="21981267"/>
    <w:rsid w:val="21C25686"/>
    <w:rsid w:val="236E24FF"/>
    <w:rsid w:val="24DC3F73"/>
    <w:rsid w:val="263412CA"/>
    <w:rsid w:val="282370EA"/>
    <w:rsid w:val="28654E18"/>
    <w:rsid w:val="29004DBA"/>
    <w:rsid w:val="2BDF3BA3"/>
    <w:rsid w:val="2BF64C0C"/>
    <w:rsid w:val="2C4602D1"/>
    <w:rsid w:val="2D996931"/>
    <w:rsid w:val="2DE94A08"/>
    <w:rsid w:val="3047175D"/>
    <w:rsid w:val="3058256D"/>
    <w:rsid w:val="32C35126"/>
    <w:rsid w:val="333146B8"/>
    <w:rsid w:val="33993428"/>
    <w:rsid w:val="353B1914"/>
    <w:rsid w:val="36853990"/>
    <w:rsid w:val="36DB7E0B"/>
    <w:rsid w:val="392A5822"/>
    <w:rsid w:val="3B2F25EA"/>
    <w:rsid w:val="3B9B1FAC"/>
    <w:rsid w:val="3FCA5128"/>
    <w:rsid w:val="3FF94573"/>
    <w:rsid w:val="41917F01"/>
    <w:rsid w:val="4484797D"/>
    <w:rsid w:val="453C4349"/>
    <w:rsid w:val="459401BA"/>
    <w:rsid w:val="47F81791"/>
    <w:rsid w:val="48811939"/>
    <w:rsid w:val="4B6D7A7A"/>
    <w:rsid w:val="4CDB5967"/>
    <w:rsid w:val="4FB67B37"/>
    <w:rsid w:val="50C04376"/>
    <w:rsid w:val="534D4AFD"/>
    <w:rsid w:val="548B15B0"/>
    <w:rsid w:val="556E58DC"/>
    <w:rsid w:val="5A620254"/>
    <w:rsid w:val="5C2375C3"/>
    <w:rsid w:val="5C52353F"/>
    <w:rsid w:val="5EB66137"/>
    <w:rsid w:val="5EFB0286"/>
    <w:rsid w:val="5F192EDD"/>
    <w:rsid w:val="60A1308B"/>
    <w:rsid w:val="610175E0"/>
    <w:rsid w:val="613751CE"/>
    <w:rsid w:val="62FC0873"/>
    <w:rsid w:val="6339448A"/>
    <w:rsid w:val="65344081"/>
    <w:rsid w:val="65497794"/>
    <w:rsid w:val="674F5770"/>
    <w:rsid w:val="67A23AF2"/>
    <w:rsid w:val="687F7F38"/>
    <w:rsid w:val="68A103E7"/>
    <w:rsid w:val="6A737C0F"/>
    <w:rsid w:val="6B0F2BA7"/>
    <w:rsid w:val="6E6F464B"/>
    <w:rsid w:val="6F44139C"/>
    <w:rsid w:val="6F6A68CF"/>
    <w:rsid w:val="720A6A34"/>
    <w:rsid w:val="72B93483"/>
    <w:rsid w:val="72D96779"/>
    <w:rsid w:val="74F75736"/>
    <w:rsid w:val="74FF0F56"/>
    <w:rsid w:val="75145081"/>
    <w:rsid w:val="762A3062"/>
    <w:rsid w:val="7706685D"/>
    <w:rsid w:val="792812E8"/>
    <w:rsid w:val="79544308"/>
    <w:rsid w:val="7CF6426C"/>
    <w:rsid w:val="7E924469"/>
    <w:rsid w:val="F3FC438E"/>
  </w:rsids>
  <m:mathPr>
    <m:mathFont m:val="Cambria Math"/>
    <m:brkBin m:val="before"/>
    <m:brkBinSub m:val="--"/>
    <m:smallFrac m:val="0"/>
    <m:dispDef/>
    <m:lMargin m:val="0"/>
    <m:rMargin m:val="0"/>
    <m:defJc m:val="centerGroup"/>
    <m:wrapIndent m:val="1440"/>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link w:val="12"/>
    <w:qFormat/>
    <w:uiPriority w:val="9"/>
    <w:pPr>
      <w:spacing w:before="240" w:after="240"/>
      <w:jc w:val="center"/>
      <w:outlineLvl w:val="0"/>
    </w:pPr>
    <w:rPr>
      <w:rFonts w:ascii="黑体" w:hAnsi="黑体" w:eastAsia="黑体"/>
      <w:b/>
      <w:bCs/>
      <w:kern w:val="36"/>
      <w:sz w:val="32"/>
      <w:szCs w:val="32"/>
    </w:rPr>
  </w:style>
  <w:style w:type="paragraph" w:styleId="3">
    <w:name w:val="heading 2"/>
    <w:basedOn w:val="1"/>
    <w:link w:val="13"/>
    <w:qFormat/>
    <w:uiPriority w:val="9"/>
    <w:pPr>
      <w:spacing w:before="192" w:after="120"/>
      <w:outlineLvl w:val="1"/>
    </w:pPr>
    <w:rPr>
      <w:rFonts w:ascii="黑体" w:hAnsi="黑体" w:eastAsia="黑体"/>
      <w:b/>
      <w:bCs/>
      <w:sz w:val="30"/>
      <w:szCs w:val="30"/>
    </w:rPr>
  </w:style>
  <w:style w:type="paragraph" w:styleId="4">
    <w:name w:val="heading 3"/>
    <w:basedOn w:val="1"/>
    <w:link w:val="14"/>
    <w:qFormat/>
    <w:uiPriority w:val="9"/>
    <w:pPr>
      <w:spacing w:before="144" w:after="72"/>
      <w:outlineLvl w:val="2"/>
    </w:pPr>
    <w:rPr>
      <w:rFonts w:ascii="黑体" w:hAnsi="黑体" w:eastAsia="黑体"/>
      <w:b/>
      <w:bCs/>
      <w:sz w:val="28"/>
      <w:szCs w:val="28"/>
    </w:rPr>
  </w:style>
  <w:style w:type="paragraph" w:styleId="5">
    <w:name w:val="heading 4"/>
    <w:basedOn w:val="1"/>
    <w:next w:val="1"/>
    <w:link w:val="22"/>
    <w:unhideWhenUsed/>
    <w:qFormat/>
    <w:uiPriority w:val="9"/>
    <w:pPr>
      <w:keepNext/>
      <w:keepLines/>
      <w:spacing w:before="280" w:after="290" w:line="372" w:lineRule="auto"/>
      <w:outlineLvl w:val="3"/>
    </w:pPr>
    <w:rPr>
      <w:rFonts w:ascii="Arial" w:hAnsi="Arial" w:eastAsia="黑体"/>
      <w:b/>
      <w:sz w:val="28"/>
    </w:rPr>
  </w:style>
  <w:style w:type="character" w:default="1" w:styleId="9">
    <w:name w:val="Default Paragraph Font"/>
    <w:unhideWhenUsed/>
    <w:qFormat/>
    <w:uiPriority w:val="1"/>
  </w:style>
  <w:style w:type="table" w:default="1" w:styleId="7">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Normal (Web)"/>
    <w:basedOn w:val="1"/>
    <w:unhideWhenUsed/>
    <w:qFormat/>
    <w:uiPriority w:val="99"/>
    <w:pPr>
      <w:spacing w:after="120"/>
      <w:ind w:firstLine="48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rFonts w:hint="eastAsia" w:ascii="黑体" w:hAnsi="黑体" w:eastAsia="黑体"/>
      <w:b/>
      <w:bCs/>
    </w:rPr>
  </w:style>
  <w:style w:type="character" w:styleId="11">
    <w:name w:val="Emphasis"/>
    <w:basedOn w:val="9"/>
    <w:qFormat/>
    <w:uiPriority w:val="20"/>
    <w:rPr>
      <w:i/>
      <w:iCs/>
    </w:rPr>
  </w:style>
  <w:style w:type="character" w:customStyle="1" w:styleId="12">
    <w:name w:val="标题 1 字符"/>
    <w:basedOn w:val="9"/>
    <w:link w:val="2"/>
    <w:qFormat/>
    <w:uiPriority w:val="9"/>
    <w:rPr>
      <w:rFonts w:hint="eastAsia" w:asciiTheme="majorHAnsi" w:hAnsiTheme="majorHAnsi" w:eastAsiaTheme="majorEastAsia" w:cstheme="majorBidi"/>
      <w:color w:val="104862" w:themeColor="accent1" w:themeShade="BF"/>
      <w:sz w:val="48"/>
      <w:szCs w:val="48"/>
    </w:rPr>
  </w:style>
  <w:style w:type="character" w:customStyle="1" w:styleId="13">
    <w:name w:val="标题 2 字符"/>
    <w:basedOn w:val="9"/>
    <w:link w:val="3"/>
    <w:semiHidden/>
    <w:qFormat/>
    <w:uiPriority w:val="9"/>
    <w:rPr>
      <w:rFonts w:hint="eastAsia" w:asciiTheme="majorHAnsi" w:hAnsiTheme="majorHAnsi" w:eastAsiaTheme="majorEastAsia" w:cstheme="majorBidi"/>
      <w:color w:val="104862" w:themeColor="accent1" w:themeShade="BF"/>
      <w:sz w:val="40"/>
      <w:szCs w:val="40"/>
    </w:rPr>
  </w:style>
  <w:style w:type="character" w:customStyle="1" w:styleId="14">
    <w:name w:val="标题 3 字符"/>
    <w:basedOn w:val="9"/>
    <w:link w:val="4"/>
    <w:semiHidden/>
    <w:qFormat/>
    <w:uiPriority w:val="9"/>
    <w:rPr>
      <w:rFonts w:hint="eastAsia" w:asciiTheme="majorHAnsi" w:hAnsiTheme="majorHAnsi" w:eastAsiaTheme="majorEastAsia" w:cstheme="majorBidi"/>
      <w:color w:val="104862" w:themeColor="accent1" w:themeShade="BF"/>
      <w:sz w:val="32"/>
      <w:szCs w:val="32"/>
    </w:rPr>
  </w:style>
  <w:style w:type="paragraph" w:customStyle="1" w:styleId="15">
    <w:name w:val="msonormal"/>
    <w:basedOn w:val="1"/>
    <w:semiHidden/>
    <w:qFormat/>
    <w:uiPriority w:val="99"/>
    <w:pPr>
      <w:spacing w:after="120"/>
      <w:ind w:firstLine="480"/>
    </w:pPr>
  </w:style>
  <w:style w:type="paragraph" w:customStyle="1" w:styleId="16">
    <w:name w:val="equation"/>
    <w:basedOn w:val="1"/>
    <w:semiHidden/>
    <w:qFormat/>
    <w:uiPriority w:val="99"/>
    <w:pPr>
      <w:spacing w:before="192" w:after="192"/>
      <w:ind w:left="480" w:right="480"/>
    </w:pPr>
    <w:rPr>
      <w:i/>
      <w:iCs/>
    </w:rPr>
  </w:style>
  <w:style w:type="paragraph" w:customStyle="1" w:styleId="17">
    <w:name w:val="eq-number"/>
    <w:basedOn w:val="1"/>
    <w:semiHidden/>
    <w:qFormat/>
    <w:uiPriority w:val="99"/>
    <w:pPr>
      <w:spacing w:before="100" w:beforeAutospacing="1" w:after="48"/>
      <w:jc w:val="right"/>
    </w:pPr>
  </w:style>
  <w:style w:type="paragraph" w:customStyle="1" w:styleId="18">
    <w:name w:val="en"/>
    <w:basedOn w:val="1"/>
    <w:semiHidden/>
    <w:qFormat/>
    <w:uiPriority w:val="99"/>
    <w:pPr>
      <w:spacing w:before="100" w:beforeAutospacing="1" w:after="48"/>
    </w:pPr>
    <w:rPr>
      <w:rFonts w:ascii="Times New Roman" w:hAnsi="Times New Roman" w:cs="Times New Roman"/>
    </w:rPr>
  </w:style>
  <w:style w:type="character" w:customStyle="1" w:styleId="19">
    <w:name w:val="eq-number1"/>
    <w:basedOn w:val="9"/>
    <w:qFormat/>
    <w:uiPriority w:val="0"/>
  </w:style>
  <w:style w:type="paragraph" w:customStyle="1" w:styleId="20">
    <w:name w:val="Bibliography1"/>
    <w:basedOn w:val="1"/>
    <w:next w:val="1"/>
    <w:unhideWhenUsed/>
    <w:qFormat/>
    <w:uiPriority w:val="37"/>
    <w:pPr>
      <w:tabs>
        <w:tab w:val="left" w:pos="384"/>
      </w:tabs>
      <w:ind w:left="384" w:hanging="384"/>
    </w:pPr>
  </w:style>
  <w:style w:type="paragraph" w:customStyle="1" w:styleId="21">
    <w:name w:val="书目1"/>
    <w:basedOn w:val="1"/>
    <w:next w:val="1"/>
    <w:unhideWhenUsed/>
    <w:qFormat/>
    <w:uiPriority w:val="37"/>
  </w:style>
  <w:style w:type="character" w:customStyle="1" w:styleId="22">
    <w:name w:val="标题 4 字符"/>
    <w:link w:val="5"/>
    <w:qFormat/>
    <w:uiPriority w:val="9"/>
    <w:rPr>
      <w:rFonts w:ascii="Arial" w:hAnsi="Arial" w:eastAsia="黑体"/>
      <w:b/>
      <w:sz w:val="28"/>
    </w:rPr>
  </w:style>
  <w:style w:type="paragraph" w:customStyle="1" w:styleId="23">
    <w:name w:val="书目2"/>
    <w:basedOn w:val="1"/>
    <w:next w:val="1"/>
    <w:unhideWhenUsed/>
    <w:qFormat/>
    <w:uiPriority w:val="37"/>
  </w:style>
  <w:style w:type="character" w:styleId="24">
    <w:name w:val="Placeholder Text"/>
    <w:basedOn w:val="9"/>
    <w:unhideWhenUsed/>
    <w:qFormat/>
    <w:uiPriority w:val="99"/>
    <w:rPr>
      <w:color w:val="666666"/>
    </w:rPr>
  </w:style>
  <w:style w:type="paragraph" w:customStyle="1" w:styleId="25">
    <w:name w:val="Bibliography"/>
    <w:basedOn w:val="1"/>
    <w:next w:val="1"/>
    <w:unhideWhenUsed/>
    <w:qFormat/>
    <w:uiPriority w:val="37"/>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0EBB0-99A2-4239-AEBF-5D330635C5CE}">
  <ds:schemaRefs/>
</ds:datastoreItem>
</file>

<file path=docProps/app.xml><?xml version="1.0" encoding="utf-8"?>
<Properties xmlns="http://schemas.openxmlformats.org/officeDocument/2006/extended-properties" xmlns:vt="http://schemas.openxmlformats.org/officeDocument/2006/docPropsVTypes">
  <Template>Normal</Template>
  <Pages>8</Pages>
  <Words>1649</Words>
  <Characters>1890</Characters>
  <Lines>214</Lines>
  <Paragraphs>60</Paragraphs>
  <TotalTime>19</TotalTime>
  <ScaleCrop>false</ScaleCrop>
  <LinksUpToDate>false</LinksUpToDate>
  <CharactersWithSpaces>1922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2026-04-27T20:31:00Z</dcterms:created>
  <dc:creator>Admin</dc:creator>
  <cp:lastModifiedBy>向凯泽</cp:lastModifiedBy>
  <dcterms:modified xsi:type="dcterms:W3CDTF">2026-09-24T00:51:31Z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eyJoZGlkIjoiNzI0OTc3N2YwY2JiZGU5MmQ4NjQ2NjIzZTU1YmVmOTgiLCJ1c2VySWQiOiIxNDk2MzIzNjMzIn0=</vt:lpwstr>
  </property>
  <property fmtid="{D5CDD505-2E9C-101B-9397-08002B2CF9AE}" pid="3" name="KSOProductBuildVer">
    <vt:lpwstr>2052-12.1.0.28505</vt:lpwstr>
  </property>
  <property fmtid="{D5CDD505-2E9C-101B-9397-08002B2CF9AE}" pid="4" name="ICV">
    <vt:lpwstr>2F70269FD08C40A5959E2BF1155EA50A_13</vt:lpwstr>
  </property>
  <property fmtid="{D5CDD505-2E9C-101B-9397-08002B2CF9AE}" pid="5" name="ZOTERO_PREF_1">
    <vt:lpwstr>&lt;data data-version="3" zotero-version="10.0.3"&gt;&lt;session id="HYJMHkhj"/&gt;&lt;style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