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uthor-statements"/>
    <w:p>
      <w:pPr>
        <w:pStyle w:val="Heading1"/>
      </w:pPr>
      <w:r>
        <w:t xml:space="preserve">Author statements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Structural variation is invisible to SNP-distance dereplication: the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 strain of Yersinia pestis merges with its own attenuated derivative</w:t>
      </w:r>
      <w:r>
        <w:t xml:space="preserve"> </w:t>
      </w:r>
      <w:r>
        <w:t xml:space="preserve">(</w:t>
      </w:r>
      <w:r>
        <w:t xml:space="preserve">Research Article).</w:t>
      </w:r>
    </w:p>
    <w:p>
      <w:pPr>
        <w:pStyle w:val="BlockText"/>
      </w:pPr>
      <w:r>
        <w:rPr>
          <w:b/>
          <w:bCs/>
        </w:rPr>
        <w:t xml:space="preserve">To complete before submission</w:t>
      </w:r>
      <w:r>
        <w:t xml:space="preserve"> </w:t>
      </w:r>
      <w:r>
        <w:t xml:space="preserve">— replace every</w:t>
      </w:r>
      <w:r>
        <w:t xml:space="preserve"> </w:t>
      </w:r>
      <w:r>
        <w:rPr>
          <w:rStyle w:val="VerbatimChar"/>
        </w:rPr>
        <w:t xml:space="preserve">&lt;…&gt;</w:t>
      </w:r>
      <w:r>
        <w:t xml:space="preserve"> </w:t>
      </w:r>
      <w:r>
        <w:t xml:space="preserve">below. The Funding and</w:t>
      </w:r>
      <w:r>
        <w:t xml:space="preserve"> </w:t>
      </w:r>
      <w:r>
        <w:t xml:space="preserve">Conflicts sentences are the standard formulations; confirm or edit them.</w:t>
      </w:r>
    </w:p>
    <w:bookmarkStart w:id="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agency, commercial or</w:t>
      </w:r>
      <w:r>
        <w:t xml:space="preserve"> </w:t>
      </w:r>
      <w:r>
        <w:t xml:space="preserve">not-for-profit sectors.</w:t>
      </w:r>
    </w:p>
    <w:p>
      <w:pPr>
        <w:pStyle w:val="BodyText"/>
      </w:pPr>
      <w:r>
        <w:rPr>
          <w:rStyle w:val="VerbatimChar"/>
          <w:i/>
          <w:iCs/>
        </w:rPr>
        <w:t xml:space="preserve">&lt;If there is a grant, replace with: This work was supported by &lt;funder&gt; (grant number &lt;…&gt;).&gt;</w:t>
      </w:r>
    </w:p>
    <w:bookmarkEnd w:id="9"/>
    <w:bookmarkStart w:id="10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authors declare that there are no conflicts of interest.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CRediT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&lt;Author 1&gt;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&lt;e.g. Conceptualization, Methodology, Software, Formal analysis, Data curation, Validation, Visualization, Writing – original draft&gt;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&lt;Author 2&gt;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&lt;e.g. Conceptualization, Methodology, Supervision, Project administration, Writing – review &amp; editing&gt;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&lt;Author 3&gt;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All authors read and approved the final manuscript.</w:t>
      </w:r>
    </w:p>
    <w:p>
      <w:pPr>
        <w:pStyle w:val="BodyText"/>
      </w:pPr>
      <w:r>
        <w:rPr>
          <w:i/>
          <w:iCs/>
        </w:rPr>
        <w:t xml:space="preserve">CRediT roles available:</w:t>
      </w:r>
      <w:r>
        <w:t xml:space="preserve"> </w:t>
      </w:r>
      <w:r>
        <w:t xml:space="preserve">Conceptualization · Data curation · Formal analysis ·</w:t>
      </w:r>
      <w:r>
        <w:t xml:space="preserve"> </w:t>
      </w:r>
      <w:r>
        <w:t xml:space="preserve">Funding acquisition · Investigation · Methodology · Project administration ·</w:t>
      </w:r>
      <w:r>
        <w:t xml:space="preserve"> </w:t>
      </w:r>
      <w:r>
        <w:t xml:space="preserve">Resources · Software · Supervision · Validation · Visualization ·</w:t>
      </w:r>
      <w:r>
        <w:t xml:space="preserve"> </w:t>
      </w:r>
      <w:r>
        <w:t xml:space="preserve">Writing – original draft · Writing – review &amp; editing.</w:t>
      </w:r>
    </w:p>
    <w:p>
      <w:pPr>
        <w:pStyle w:val="BodyText"/>
      </w:pPr>
      <w:r>
        <w:rPr>
          <w:i/>
          <w:iCs/>
        </w:rPr>
        <w:t xml:space="preserve">Do not assign all fourteen roles to one person to fill the table.</w:t>
      </w:r>
      <w:r>
        <w:t xml:space="preserve"> </w:t>
      </w:r>
      <w:r>
        <w:t xml:space="preserve">With one or two</w:t>
      </w:r>
      <w:r>
        <w:t xml:space="preserve"> </w:t>
      </w:r>
      <w:r>
        <w:t xml:space="preserve">authors, five to eight roles each is the norm;</w:t>
      </w:r>
      <w:r>
        <w:t xml:space="preserve"> </w:t>
      </w:r>
      <w:r>
        <w:rPr>
          <w:rStyle w:val="VerbatimChar"/>
        </w:rPr>
        <w:t xml:space="preserve">Funding acquisition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are simply absent when there is no funding.</w:t>
      </w:r>
    </w:p>
    <w:bookmarkEnd w:id="11"/>
    <w:bookmarkStart w:id="12" w:name="ethical-approval"/>
    <w:p>
      <w:pPr>
        <w:pStyle w:val="Heading2"/>
      </w:pPr>
      <w:r>
        <w:t xml:space="preserve">Ethical approval</w:t>
      </w:r>
    </w:p>
    <w:p>
      <w:pPr>
        <w:pStyle w:val="FirstParagraph"/>
      </w:pPr>
      <w:r>
        <w:t xml:space="preserve">This study involves no human participants and no animal experiments.</w:t>
      </w:r>
    </w:p>
    <w:bookmarkEnd w:id="12"/>
    <w:bookmarkStart w:id="13" w:name="dual-use-research-of-concern"/>
    <w:p>
      <w:pPr>
        <w:pStyle w:val="Heading2"/>
      </w:pPr>
      <w:r>
        <w:t xml:space="preserve">Dual-use research of concern</w:t>
      </w:r>
    </w:p>
    <w:p>
      <w:pPr>
        <w:pStyle w:val="FirstParagraph"/>
      </w:pPr>
      <w:r>
        <w:t xml:space="preserve">No new isolates were obtained, no laboratory work was performed, and no clinical</w:t>
      </w:r>
      <w:r>
        <w:t xml:space="preserve"> </w:t>
      </w:r>
      <w:r>
        <w:t xml:space="preserve">samples were used: every genome analysed here was already publicly deposited before</w:t>
      </w:r>
      <w:r>
        <w:t xml:space="preserve"> </w:t>
      </w:r>
      <w:r>
        <w:t xml:space="preserve">this study began.</w:t>
      </w:r>
      <w:r>
        <w:t xml:space="preserve"> </w:t>
      </w:r>
      <w:r>
        <w:rPr>
          <w:i/>
          <w:iCs/>
        </w:rPr>
        <w:t xml:space="preserve">Yersinia pestis</w:t>
      </w:r>
      <w:r>
        <w:t xml:space="preserve"> </w:t>
      </w:r>
      <w:r>
        <w:t xml:space="preserve">is a Tier 1 Select Agent, and all content of this</w:t>
      </w:r>
      <w:r>
        <w:t xml:space="preserve"> </w:t>
      </w:r>
      <w:r>
        <w:t xml:space="preserve">paper concerns the identification of interpretation errors in that existing public</w:t>
      </w:r>
      <w:r>
        <w:t xml:space="preserve"> </w:t>
      </w:r>
      <w:r>
        <w:t xml:space="preserve">data. Every reference to plasmid or</w:t>
      </w:r>
      <w:r>
        <w:t xml:space="preserve"> </w:t>
      </w:r>
      <w:r>
        <w:rPr>
          <w:i/>
          <w:iCs/>
        </w:rPr>
        <w:t xml:space="preserve">pgm</w:t>
      </w:r>
      <w:r>
        <w:t xml:space="preserve"> </w:t>
      </w:r>
      <w:r>
        <w:t xml:space="preserve">loss concerns attenuation and the</w:t>
      </w:r>
      <w:r>
        <w:t xml:space="preserve"> </w:t>
      </w:r>
      <w:r>
        <w:t xml:space="preserve">interpretation of detection assays; nothing here describes or facilitates the</w:t>
      </w:r>
      <w:r>
        <w:t xml:space="preserve"> </w:t>
      </w:r>
      <w:r>
        <w:t xml:space="preserve">construction of a strain of enhanced virulence or the evasion of a vaccine or</w:t>
      </w:r>
      <w:r>
        <w:t xml:space="preserve"> </w:t>
      </w:r>
      <w:r>
        <w:t xml:space="preserve">diagnostic.</w:t>
      </w:r>
    </w:p>
    <w:bookmarkEnd w:id="13"/>
    <w:bookmarkStart w:id="1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data are previously published, publicly available archived genomes. Analysis</w:t>
      </w:r>
      <w:r>
        <w:t xml:space="preserve"> </w:t>
      </w:r>
      <w:r>
        <w:t xml:space="preserve">code, the derived deletion-profile, distance, polarity and threshold-scan tables and</w:t>
      </w:r>
      <w:r>
        <w:t xml:space="preserve"> </w:t>
      </w:r>
      <w:r>
        <w:t xml:space="preserve">the software version manifest are archived at</w:t>
      </w:r>
      <w:r>
        <w:t xml:space="preserve"> </w:t>
      </w:r>
      <w:r>
        <w:t xml:space="preserve">https://github.com/Tygg199456/structural-variation-is-invisible-to-snp-distance-dereplication and</w:t>
      </w:r>
      <w:r>
        <w:t xml:space="preserve"> </w:t>
      </w:r>
      <w:r>
        <w:rPr>
          <w:rStyle w:val="VerbatimChar"/>
        </w:rPr>
        <w:t xml:space="preserve">&lt;Zenodo DOI&gt;</w:t>
      </w:r>
      <w:r>
        <w:t xml:space="preserve">.</w:t>
      </w:r>
    </w:p>
    <w:bookmarkEnd w:id="14"/>
    <w:bookmarkStart w:id="15" w:name="related-manuscript"/>
    <w:p>
      <w:pPr>
        <w:pStyle w:val="Heading2"/>
      </w:pPr>
      <w:r>
        <w:t xml:space="preserve">Related manuscript</w:t>
      </w:r>
    </w:p>
    <w:p>
      <w:pPr>
        <w:pStyle w:val="FirstParagraph"/>
      </w:pPr>
      <w:r>
        <w:t xml:space="preserve">A companion manuscript using an overlapping genome set for pangenome and</w:t>
      </w:r>
      <w:r>
        <w:t xml:space="preserve"> </w:t>
      </w:r>
      <w:r>
        <w:t xml:space="preserve">presence/absence analysis is in preparation; its contribution, audience and</w:t>
      </w:r>
      <w:r>
        <w:t xml:space="preserve"> </w:t>
      </w:r>
      <w:r>
        <w:t xml:space="preserve">conclusions are distinct and neither manuscript depends on the other.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2026-10-13T12:45:21Z</dcterms:created>
  <dcterms:modified xsi:type="dcterms:W3CDTF">2026-10-13T12:45:21Z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