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uthor-statements"/>
    <w:p>
      <w:pPr>
        <w:pStyle w:val="Heading1"/>
      </w:pPr>
      <w:r>
        <w:t xml:space="preserve">Author statements</w:t>
      </w:r>
    </w:p>
    <w:p>
      <w:pPr>
        <w:pStyle w:val="FirstParagraph"/>
      </w:pPr>
      <w:r>
        <w:t xml:space="preserve">Manuscript:</w:t>
      </w:r>
      <w:r>
        <w:t xml:space="preserve"> </w:t>
      </w:r>
      <w:r>
        <w:rPr>
          <w:i/>
          <w:iCs/>
        </w:rPr>
        <w:t xml:space="preserve">Structural variation is invisible to SNP-distance dereplication: the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strain of Yersinia pestis merges with its own attenuated derivative</w:t>
      </w:r>
      <w:r>
        <w:t xml:space="preserve"> </w:t>
      </w:r>
      <w:r>
        <w:t xml:space="preserve">(Research Article).</w:t>
      </w:r>
    </w:p>
    <w:p>
      <w:pPr>
        <w:pStyle w:val="BlockText"/>
      </w:pPr>
      <w:r>
        <w:t xml:space="preserve">Author declarations for submission.</w:t>
      </w:r>
    </w:p>
    <w:bookmarkStart w:id="9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was supported by the Earmarked Fund for Shanxi Agriculture Research</w:t>
      </w:r>
      <w:r>
        <w:t xml:space="preserve"> </w:t>
      </w:r>
      <w:r>
        <w:t xml:space="preserve">System (2026CYJSTX15-7 to W.X.T.), the University-region Scientific and Technological</w:t>
      </w:r>
      <w:r>
        <w:t xml:space="preserve"> </w:t>
      </w:r>
      <w:r>
        <w:t xml:space="preserve">Collaboration Funds (JSFW25-0151), the Special Fund for Science and Technology</w:t>
      </w:r>
      <w:r>
        <w:t xml:space="preserve"> </w:t>
      </w:r>
      <w:r>
        <w:t xml:space="preserve">Innovation Teams of Shanxi Province (202204051001022 to W.X.T. and S.N.), and the</w:t>
      </w:r>
      <w:r>
        <w:t xml:space="preserve"> </w:t>
      </w:r>
      <w:r>
        <w:t xml:space="preserve">Shanxi Key Laboratory of Animal Disease Research, Prevention and Control</w:t>
      </w:r>
      <w:r>
        <w:t xml:space="preserve"> </w:t>
      </w:r>
      <w:r>
        <w:t xml:space="preserve">(202504010931010).</w:t>
      </w:r>
    </w:p>
    <w:bookmarkEnd w:id="9"/>
    <w:bookmarkStart w:id="10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authors declare that there are no conflicts of interest.</w:t>
      </w:r>
    </w:p>
    <w:bookmarkEnd w:id="10"/>
    <w:bookmarkStart w:id="11" w:name="author-contributions"/>
    <w:p>
      <w:pPr>
        <w:pStyle w:val="Heading2"/>
      </w:pPr>
      <w:r>
        <w:t xml:space="preserve">Author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CRediT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Guangwei Tong †</w:t>
            </w:r>
          </w:p>
        </w:tc>
        <w:tc>
          <w:tcPr/>
          <w:p>
            <w:pPr>
              <w:pStyle w:val="Compact"/>
            </w:pPr>
            <w:r>
              <w:t xml:space="preserve">Conceptualization, Methodology, Software, Formal analysis, Data curation, Visualization, Writing – original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Yongfei Zhou †</w:t>
            </w:r>
          </w:p>
        </w:tc>
        <w:tc>
          <w:tcPr/>
          <w:p>
            <w:pPr>
              <w:pStyle w:val="Compact"/>
            </w:pPr>
            <w:r>
              <w:t xml:space="preserve">Investigation, Validation, Resources, Writing – review &amp;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Wenxia Tian *</w:t>
            </w:r>
          </w:p>
        </w:tc>
        <w:tc>
          <w:tcPr/>
          <w:p>
            <w:pPr>
              <w:pStyle w:val="Compact"/>
            </w:pPr>
            <w:r>
              <w:t xml:space="preserve">Conceptualization, Supervision, Project administration, Funding acquisition, Writing – review &amp; editing</w:t>
            </w:r>
          </w:p>
        </w:tc>
      </w:tr>
    </w:tbl>
    <w:p>
      <w:pPr>
        <w:pStyle w:val="BodyText"/>
      </w:pPr>
      <w:r>
        <w:t xml:space="preserve">† These authors contributed equally to this work. * Corresponding author: Wenxia Tian</w:t>
      </w:r>
      <w:r>
        <w:t xml:space="preserve"> </w:t>
      </w:r>
      <w:r>
        <w:t xml:space="preserve">(18842418106@163.com).</w:t>
      </w:r>
    </w:p>
    <w:p>
      <w:pPr>
        <w:pStyle w:val="BodyText"/>
      </w:pPr>
      <w:r>
        <w:t xml:space="preserve">All authors read and approved the final manuscript.</w:t>
      </w:r>
    </w:p>
    <w:bookmarkEnd w:id="11"/>
    <w:bookmarkStart w:id="12" w:name="ethical-approval"/>
    <w:p>
      <w:pPr>
        <w:pStyle w:val="Heading2"/>
      </w:pPr>
      <w:r>
        <w:t xml:space="preserve">Ethical approval</w:t>
      </w:r>
    </w:p>
    <w:p>
      <w:pPr>
        <w:pStyle w:val="FirstParagraph"/>
      </w:pPr>
      <w:r>
        <w:t xml:space="preserve">This study involves no human participants and no animal experiments.</w:t>
      </w:r>
    </w:p>
    <w:bookmarkEnd w:id="12"/>
    <w:bookmarkStart w:id="13" w:name="dual-use-research-of-concern"/>
    <w:p>
      <w:pPr>
        <w:pStyle w:val="Heading2"/>
      </w:pPr>
      <w:r>
        <w:t xml:space="preserve">Dual-use research of concern</w:t>
      </w:r>
    </w:p>
    <w:p>
      <w:pPr>
        <w:pStyle w:val="FirstParagraph"/>
      </w:pPr>
      <w:r>
        <w:t xml:space="preserve">No new isolates were obtained, no laboratory work was performed, and no clinical</w:t>
      </w:r>
      <w:r>
        <w:t xml:space="preserve"> </w:t>
      </w:r>
      <w:r>
        <w:t xml:space="preserve">samples were used: every genome analysed here was already publicly deposited before</w:t>
      </w:r>
      <w:r>
        <w:t xml:space="preserve"> </w:t>
      </w:r>
      <w:r>
        <w:t xml:space="preserve">this study began.</w:t>
      </w:r>
      <w:r>
        <w:t xml:space="preserve"> </w:t>
      </w:r>
      <w:r>
        <w:rPr>
          <w:i/>
          <w:iCs/>
        </w:rPr>
        <w:t xml:space="preserve">Yersinia pestis</w:t>
      </w:r>
      <w:r>
        <w:t xml:space="preserve"> </w:t>
      </w:r>
      <w:r>
        <w:t xml:space="preserve">is a Tier 1 Select Agent, and all content of this</w:t>
      </w:r>
      <w:r>
        <w:t xml:space="preserve"> </w:t>
      </w:r>
      <w:r>
        <w:t xml:space="preserve">paper concerns the identification of interpretation errors in that existing public</w:t>
      </w:r>
      <w:r>
        <w:t xml:space="preserve"> </w:t>
      </w:r>
      <w:r>
        <w:t xml:space="preserve">data. Every reference to plasmid or</w:t>
      </w:r>
      <w:r>
        <w:t xml:space="preserve"> </w:t>
      </w:r>
      <w:r>
        <w:rPr>
          <w:i/>
          <w:iCs/>
        </w:rPr>
        <w:t xml:space="preserve">pgm</w:t>
      </w:r>
      <w:r>
        <w:t xml:space="preserve"> </w:t>
      </w:r>
      <w:r>
        <w:t xml:space="preserve">loss concerns attenuation and the</w:t>
      </w:r>
      <w:r>
        <w:t xml:space="preserve"> </w:t>
      </w:r>
      <w:r>
        <w:t xml:space="preserve">interpretation of detection assays; nothing here describes or facilitates the</w:t>
      </w:r>
      <w:r>
        <w:t xml:space="preserve"> </w:t>
      </w:r>
      <w:r>
        <w:t xml:space="preserve">construction of a strain of enhanced virulence or the evasion of a vaccine or</w:t>
      </w:r>
      <w:r>
        <w:t xml:space="preserve"> </w:t>
      </w:r>
      <w:r>
        <w:t xml:space="preserve">diagnostic.</w:t>
      </w:r>
    </w:p>
    <w:bookmarkEnd w:id="13"/>
    <w:bookmarkStart w:id="1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data are previously published, publicly available archived genomes. Analysis</w:t>
      </w:r>
      <w:r>
        <w:t xml:space="preserve"> </w:t>
      </w:r>
      <w:r>
        <w:t xml:space="preserve">code, the derived deletion-profile, distance, polarity and threshold-scan tables and</w:t>
      </w:r>
      <w:r>
        <w:t xml:space="preserve"> </w:t>
      </w:r>
      <w:r>
        <w:t xml:space="preserve">the software version manifest are archived at</w:t>
      </w:r>
      <w:r>
        <w:t xml:space="preserve"> </w:t>
      </w:r>
      <w:r>
        <w:t xml:space="preserve">https://github.com/Tygg199456/structural-variation-is-invisible-to-snp-distance-dereplication and https://doi.org/10.5281/zenodo.23353814 (concept DOI; version v1.0.0 is 10.5281/zenodo.23353815).</w:t>
      </w:r>
    </w:p>
    <w:bookmarkEnd w:id="14"/>
    <w:bookmarkStart w:id="15" w:name="related-manuscript"/>
    <w:p>
      <w:pPr>
        <w:pStyle w:val="Heading2"/>
      </w:pPr>
      <w:r>
        <w:t xml:space="preserve">Related manuscript</w:t>
      </w:r>
    </w:p>
    <w:p>
      <w:pPr>
        <w:pStyle w:val="FirstParagraph"/>
      </w:pPr>
      <w:r>
        <w:t xml:space="preserve">A companion manuscript using an overlapping genome set for pangenome and</w:t>
      </w:r>
      <w:r>
        <w:t xml:space="preserve"> </w:t>
      </w:r>
      <w:r>
        <w:t xml:space="preserve">presence/absence analysis is in preparation; its contribution, audience and</w:t>
      </w:r>
      <w:r>
        <w:t xml:space="preserve"> </w:t>
      </w:r>
      <w:r>
        <w:t xml:space="preserve">conclusions are distinct and neither manuscript depends on the other.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2026-10-14T00:55:36Z</dcterms:created>
  <dcterms:modified xsi:type="dcterms:W3CDTF">2026-10-14T00:55:36Z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