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zbe3itjtk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Técnico de Cierre — Sprint 1: ase técnica y entorno de desarrollo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v8cqw809c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1. Objetivo del Sprint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la base técnica y entorno de desarrollo del proyecto </w:t>
      </w:r>
      <w:r w:rsidDel="00000000" w:rsidR="00000000" w:rsidRPr="00000000">
        <w:rPr>
          <w:i w:val="1"/>
          <w:iCs w:val="1"/>
          <w:rtl w:val="0"/>
        </w:rPr>
        <w:t xml:space="preserve">Monedaventura</w:t>
      </w:r>
      <w:r w:rsidDel="00000000" w:rsidR="00000000" w:rsidRPr="00000000">
        <w:rPr>
          <w:rtl w:val="0"/>
        </w:rPr>
        <w:t xml:space="preserve"> para permitir el despliegue local de sus tres componentes principales: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(interfaz educativa interactiva)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REST Framework (API principal)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15 (almacenamiento relacional)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qt5ewwrz1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2. Entregables</w:t>
      </w:r>
    </w:p>
    <w:tbl>
      <w:tblPr>
        <w:tblStyle w:val="Table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6230"/>
        <w:gridCol w:w="935"/>
        <w:tblGridChange w:id="0">
          <w:tblGrid>
            <w:gridCol w:w="2105"/>
            <w:gridCol w:w="623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Orquestación de servicios (frontend, backend, 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  <w:t xml:space="preserve">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Entorno Node.js con hot-reload y variables de entorno configuradas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  <w:t xml:space="preserve">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Entorno Django con migraciones y conexión automática a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entorno y credenciales seguras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db/init.sql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Script inicial para base de datos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Instrucciones de despliegue en modo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wnk7jiatn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3. Mejoras técnicas aplicadas</w:t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3185"/>
        <w:gridCol w:w="2465"/>
        <w:tblGridChange w:id="0">
          <w:tblGrid>
            <w:gridCol w:w="3620"/>
            <w:gridCol w:w="318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Health Check en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Verifica disponibilidad antes de iniciar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Evita errores de conexión temprana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condition: service_healthy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Control de dependencias entre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Arranque ordenado y confiable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Red interna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monedaventura_network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directa entre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Aislamiento de red y seguridad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Variables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NEXT_PUBLIC_API_URL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correcta entre frontend y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Eliminación de errores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Persistencia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/usr/src/app/node_modules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Evita conflictos de 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Hot reload estable en desarrollo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r5paijdhj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4. Validaciones finales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disponible en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http://localhost:8000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operativo en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http://localhost:3000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 corriendo en </w:t>
      </w:r>
      <w:r w:rsidDel="00000000" w:rsidR="00000000" w:rsidRPr="00000000">
        <w:rPr>
          <w:b w:val="1"/>
          <w:bCs w:val="1"/>
          <w:rtl w:val="0"/>
        </w:rPr>
        <w:t xml:space="preserve">5432:5432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Comunicación interna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frontend → backend → db</w:t>
      </w:r>
      <w:r w:rsidDel="00000000" w:rsidR="00000000" w:rsidRPr="00000000">
        <w:rPr>
          <w:rtl w:val="0"/>
        </w:rPr>
        <w:t xml:space="preserve"> confirmada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Desktop con tres contenedores activos sin errores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v8i3y0a20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5. Conclusión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1 logra establecer un entorno </w:t>
      </w:r>
      <w:r w:rsidDel="00000000" w:rsidR="00000000" w:rsidRPr="00000000">
        <w:rPr>
          <w:b w:val="1"/>
          <w:bCs w:val="1"/>
          <w:rtl w:val="0"/>
        </w:rPr>
        <w:t xml:space="preserve">listo para desarrollo</w:t>
      </w:r>
      <w:r w:rsidDel="00000000" w:rsidR="00000000" w:rsidRPr="00000000">
        <w:rPr>
          <w:rtl w:val="0"/>
        </w:rPr>
        <w:t xml:space="preserve">, con servicios interconectados, seguridad de arranque y documentación básica.</w:t>
        <w:br w:type="textWrapping"/>
        <w:t xml:space="preserve"> El sistema está preparado para iniciar el desarrollo funcional de los módulos educativos y la API del juego.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1 Sprint (1 semana)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 de entorno:</w:t>
      </w:r>
      <w:r w:rsidDel="00000000" w:rsidR="00000000" w:rsidRPr="00000000">
        <w:rPr>
          <w:rtl w:val="0"/>
        </w:rPr>
        <w:t xml:space="preserve"> v1.0.0-dev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00" TargetMode="External"/><Relationship Id="rId7" Type="http://schemas.openxmlformats.org/officeDocument/2006/relationships/hyperlink" Target="http://localhost:8000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