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Plan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MonedAventura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19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11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2025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7198826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_heading=h.7vbqqxjo1tfy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Metodología</w:t>
            <w:tab/>
          </w:r>
          <w:r w:rsidDel="00000000" w:rsidR="00000000" w:rsidRPr="00000000">
            <w:fldChar w:fldCharType="begin"/>
            <w:instrText xml:space="preserve"> PAGEREF _heading=h.3wo9qj2zpaoi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Roles y Responsabilidades</w:t>
            <w:tab/>
          </w:r>
          <w:r w:rsidDel="00000000" w:rsidR="00000000" w:rsidRPr="00000000">
            <w:fldChar w:fldCharType="begin"/>
            <w:instrText xml:space="preserve"> PAGEREF _heading=h.lhk3aumptsb7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Presupuesto</w:t>
            <w:tab/>
          </w:r>
          <w:r w:rsidDel="00000000" w:rsidR="00000000" w:rsidRPr="00000000">
            <w:fldChar w:fldCharType="begin"/>
            <w:instrText xml:space="preserve"> PAGEREF _heading=h.9ykubxsl7bgq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Calendario</w:t>
            <w:tab/>
          </w:r>
          <w:r w:rsidDel="00000000" w:rsidR="00000000" w:rsidRPr="00000000">
            <w:fldChar w:fldCharType="begin"/>
            <w:instrText xml:space="preserve"> PAGEREF _heading=h.csks163ohjhs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Categorías de Riesgo</w:t>
            <w:tab/>
          </w:r>
          <w:r w:rsidDel="00000000" w:rsidR="00000000" w:rsidRPr="00000000">
            <w:fldChar w:fldCharType="begin"/>
            <w:instrText xml:space="preserve"> PAGEREF _heading=h.ncprf0bk6z3x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Estructura de Desglose de Riesgos (RBS)</w:t>
            <w:tab/>
          </w:r>
          <w:r w:rsidDel="00000000" w:rsidR="00000000" w:rsidRPr="00000000">
            <w:fldChar w:fldCharType="begin"/>
            <w:instrText xml:space="preserve"> PAGEREF _heading=h.ntxkdalkr3s8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Definiciones de Probabilidad e Impacto de Riesgos</w:t>
            <w:tab/>
          </w:r>
          <w:r w:rsidDel="00000000" w:rsidR="00000000" w:rsidRPr="00000000">
            <w:fldChar w:fldCharType="begin"/>
            <w:instrText xml:space="preserve"> PAGEREF _heading=h.eycj5t7vaqgf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Definiciones de Probabilidad</w:t>
            <w:tab/>
          </w:r>
          <w:r w:rsidDel="00000000" w:rsidR="00000000" w:rsidRPr="00000000">
            <w:fldChar w:fldCharType="begin"/>
            <w:instrText xml:space="preserve"> PAGEREF _heading=h.w1nodyjjog10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Definiciones de Impacto</w:t>
            <w:tab/>
          </w:r>
          <w:r w:rsidDel="00000000" w:rsidR="00000000" w:rsidRPr="00000000">
            <w:fldChar w:fldCharType="begin"/>
            <w:instrText xml:space="preserve"> PAGEREF _heading=h.mzn7m9ie5f8l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Matriz de Probabilidad e Impacto</w:t>
            <w:tab/>
          </w:r>
          <w:r w:rsidDel="00000000" w:rsidR="00000000" w:rsidRPr="00000000">
            <w:fldChar w:fldCharType="begin"/>
            <w:instrText xml:space="preserve"> PAGEREF _heading=h.qtojbfw9x5p9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Amenazas (Riesgos)</w:t>
            <w:tab/>
          </w:r>
          <w:r w:rsidDel="00000000" w:rsidR="00000000" w:rsidRPr="00000000">
            <w:fldChar w:fldCharType="begin"/>
            <w:instrText xml:space="preserve"> PAGEREF _heading=h.2olq1j56wh62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Oportunidades</w:t>
            <w:tab/>
          </w:r>
          <w:r w:rsidDel="00000000" w:rsidR="00000000" w:rsidRPr="00000000">
            <w:fldChar w:fldCharType="begin"/>
            <w:instrText xml:space="preserve"> PAGEREF _heading=h.usq48a3n88db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Revisión de la tolerancia de los interesados (Stakeholders)</w:t>
            <w:tab/>
          </w:r>
          <w:r w:rsidDel="00000000" w:rsidR="00000000" w:rsidRPr="00000000">
            <w:fldChar w:fldCharType="begin"/>
            <w:instrText xml:space="preserve"> PAGEREF _heading=h.te76usufxci6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Formatos de los Informes</w:t>
            <w:tab/>
          </w:r>
          <w:r w:rsidDel="00000000" w:rsidR="00000000" w:rsidRPr="00000000">
            <w:fldChar w:fldCharType="begin"/>
            <w:instrText xml:space="preserve"> PAGEREF _heading=h.m1qefeyjzlw3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Seguimiento</w:t>
            <w:tab/>
          </w:r>
          <w:r w:rsidDel="00000000" w:rsidR="00000000" w:rsidRPr="00000000">
            <w:fldChar w:fldCharType="begin"/>
            <w:instrText xml:space="preserve"> PAGEREF _heading=h.z0hdspy4gd5l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_heading=h.sqavgomvbb0h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7vbqqxjo1tf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MonedAventura</w:t>
            </w:r>
            <w:r w:rsidDel="00000000" w:rsidR="00000000" w:rsidRPr="00000000">
              <w:rPr>
                <w:rtl w:val="0"/>
              </w:rPr>
              <w:t xml:space="preserve"> – Proyecto educativo interactivo.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Desarrollo de una plataforma gamificada para la educación financiera infantil, con niveles, preguntas, backend en Python, frontend en Google AI Studio y base de datos PostgreSQL integrada mediante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Proyecto académico – Duoc UC y eventual uso para docentes y estudiantes.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Docente guía de la asignatura Gestión de Riesgos.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Kevin Ortega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wo9qj2zpaoi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Metodología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gestión de riesgos del proyecto se realizará siguiendo las prácticas establecidas por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PMBOK</w:t>
            </w:r>
            <w:r w:rsidDel="00000000" w:rsidR="00000000" w:rsidRPr="00000000">
              <w:rPr>
                <w:rtl w:val="0"/>
              </w:rPr>
              <w:t xml:space="preserve">, que incluyen: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Identificación de riesgos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Análisis cualitativo de probabilidad e impacto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Planificación de respuestas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Monitoreo y control continuo</w:t>
              <w:br w:type="textWrapping"/>
            </w:r>
          </w:p>
          <w:p w:rsidR="00000000" w:rsidDel="00000000" w:rsidP="00000000" w:rsidRDefault="00000000" w:rsidRPr="00000000" w14:paraId="00000054">
            <w:pPr>
              <w:spacing w:after="240" w:before="24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utilizará comunicación semanal con el equipo y revisiones periódicas de riesgos.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hk3aumptsb7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Roles y Responsabilidades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 de Proyecto (Kevin Ortega):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Coordina todo el proceso de gestión de riesgos.</w:t>
              <w:br w:type="textWrapping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Evalúa probabilidad e impacto.</w:t>
              <w:br w:type="textWrapping"/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Asegura la ejecución de planes de respuesta.</w:t>
              <w:br w:type="textWrapping"/>
            </w:r>
          </w:p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Identifica riesgos técnicos y operacionales.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Informa problemas potenciales en la integración entre frontend, backend y base de datos.</w:t>
              <w:br w:type="textWrapping"/>
            </w:r>
          </w:p>
          <w:p w:rsidR="00000000" w:rsidDel="00000000" w:rsidP="00000000" w:rsidRDefault="00000000" w:rsidRPr="00000000" w14:paraId="0000005E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 Guía: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Supervisa la correcta aplicación de la metodología.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Válida de riesgos críticos.</w:t>
              <w:br w:type="textWrapping"/>
            </w:r>
          </w:p>
          <w:p w:rsidR="00000000" w:rsidDel="00000000" w:rsidP="00000000" w:rsidRDefault="00000000" w:rsidRPr="00000000" w14:paraId="00000061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Revisores / Stakeholders externos: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4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Entregan retroalimentación sobre diseño educativo y funcionalidad.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ykubxsl7bgq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Presupuesto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no contempla presupuesto monetario directo; sin embargo, considera recursos: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Tiempo de desarrollo del estudiante.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Uso de Docker, PostgreSQL y herramientas gratuitas.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Google AI Studio (versión gratuita).</w:t>
              <w:br w:type="textWrapping"/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Recursos computacionales personales.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csks163ohjhs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Calendario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se ejecutará durante el semestre académico, con hitos principales: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inicial: Semana 1–2</w:t>
              <w:br w:type="textWrapping"/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Desarrollo frontend: Semana 3–6</w:t>
              <w:br w:type="textWrapping"/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Desarrollo backend y BD: Semana 4–8</w:t>
              <w:br w:type="textWrapping"/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Integración con Docker: Semana 7–10</w:t>
              <w:br w:type="textWrapping"/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y ajustes finales: Semana 10–12</w:t>
              <w:br w:type="textWrapping"/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final: Semana 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ncprf0bk6z3x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Categorías de Riesgo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Riesgos Técnicos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Riesgos de Gestión</w:t>
              <w:br w:type="textWrapping"/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Riesgos Académicos</w:t>
              <w:br w:type="textWrapping"/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Riesgos de Cumplimiento</w:t>
              <w:br w:type="textWrapping"/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Riesgos de Recursos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Riesgos de Infraestructura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Riesgos de Seguridad</w:t>
              <w:br w:type="textWrapping"/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Riesgos Operacionales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ntxkdalkr3s8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Estructura de Desglose de Riesgos (RBS)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1 – Técnicos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Incompatibilidad de herramientas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Errores entre versiones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Fallos de integración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Problemas de servidor o cloud</w:t>
              <w:br w:type="textWrapping"/>
            </w:r>
          </w:p>
          <w:p w:rsidR="00000000" w:rsidDel="00000000" w:rsidP="00000000" w:rsidRDefault="00000000" w:rsidRPr="00000000" w14:paraId="00000084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2 – Datos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Pérdida de información</w:t>
              <w:br w:type="textWrapping"/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Fallas de sincronización</w:t>
              <w:br w:type="textWrapping"/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Problemas de acceso a BD</w:t>
              <w:br w:type="textWrapping"/>
            </w:r>
          </w:p>
          <w:p w:rsidR="00000000" w:rsidDel="00000000" w:rsidP="00000000" w:rsidRDefault="00000000" w:rsidRPr="00000000" w14:paraId="00000088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3 – Académicos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Retraso por carga académica</w:t>
              <w:br w:type="textWrapping"/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Falta de disponibilidad del docente guía</w:t>
              <w:br w:type="textWrapping"/>
            </w:r>
          </w:p>
          <w:p w:rsidR="00000000" w:rsidDel="00000000" w:rsidP="00000000" w:rsidRDefault="00000000" w:rsidRPr="00000000" w14:paraId="0000008B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4 – Cumplimiento Legal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Falta de alineación con normativas COPPA/GDPR</w:t>
              <w:br w:type="textWrapping"/>
            </w:r>
          </w:p>
          <w:p w:rsidR="00000000" w:rsidDel="00000000" w:rsidP="00000000" w:rsidRDefault="00000000" w:rsidRPr="00000000" w14:paraId="0000008D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5 – Seguridad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8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Vulnerabilidades o ataques externos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ycj5t7vaqgf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Definiciones de Probabilidad e Impacto de Riesgos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1nodyjjog10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Definiciones de Probabilidad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7027"/>
        <w:tblGridChange w:id="0">
          <w:tblGrid>
            <w:gridCol w:w="1843"/>
            <w:gridCol w:w="7027"/>
          </w:tblGrid>
        </w:tblGridChange>
      </w:tblGrid>
      <w:tr>
        <w:trPr>
          <w:cantSplit w:val="0"/>
          <w:trHeight w:val="49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Muy 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Altamente probable que ocurra.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Puede ocurrir varias veces durante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Media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 posible que ocurra.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Baja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Poco probable.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Muy Baja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 raro que ocurra.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zn7m9ie5f8l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Definiciones de Impacto</w:t>
      </w:r>
    </w:p>
    <w:tbl>
      <w:tblPr>
        <w:tblStyle w:val="Table9"/>
        <w:tblW w:w="8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2"/>
        <w:gridCol w:w="1450"/>
        <w:gridCol w:w="1450"/>
        <w:gridCol w:w="1452"/>
        <w:gridCol w:w="1451"/>
        <w:gridCol w:w="1451"/>
        <w:tblGridChange w:id="0">
          <w:tblGrid>
            <w:gridCol w:w="1692"/>
            <w:gridCol w:w="1450"/>
            <w:gridCol w:w="1450"/>
            <w:gridCol w:w="1452"/>
            <w:gridCol w:w="1451"/>
            <w:gridCol w:w="145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Objetivo de Proyecto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bajo (0,05)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Bajo 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(0,10)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Medio (0,20)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Alto 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(0,40)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Alto (0,80)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Alcance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Ajustes menores en una tarea sin afectar entregables.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Cambios pequeños en una funcionalidad secundaria.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Modificación eliminación de un entregable no crítico.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Cambios en módulos importantes o funcionalidades esenciales.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Pérdida o modificación mayor del alcance principal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Cronograma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Retraso &lt; 2 días.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Retraso de 3 a 5 días.</w:t>
              <w:br w:type="textWrapping"/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Retraso de 1 a 2 semanas.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Retraso de 3 semanas a 1 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Retraso &gt; 1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Costo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Aumento &lt; 2% del costo estimado.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Aumento entre 2% y 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Aumento de 6% a 10%.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Aumento entre 11% y 20%.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Aumento &gt; 20% o costos no financiables.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Calidad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Problemas pequeños sin afectar al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Defectos fáciles de corregir.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Fallas que afectan funciones, pero no el uso general.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Fallos en módulos importantes que degradan la experiencia.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Calidad muy comprometida; obliga a rehacer entregables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qtojbfw9x5p9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Matriz de Probabilidad e Impacto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olq1j56wh62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Amenazas (Riesgos)</w:t>
      </w:r>
    </w:p>
    <w:tbl>
      <w:tblPr>
        <w:tblStyle w:val="Table10"/>
        <w:tblW w:w="8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7"/>
        <w:gridCol w:w="808"/>
        <w:gridCol w:w="1364"/>
        <w:gridCol w:w="1365"/>
        <w:gridCol w:w="1364"/>
        <w:gridCol w:w="1364"/>
        <w:gridCol w:w="1364"/>
        <w:tblGridChange w:id="0">
          <w:tblGrid>
            <w:gridCol w:w="1317"/>
            <w:gridCol w:w="808"/>
            <w:gridCol w:w="1364"/>
            <w:gridCol w:w="1365"/>
            <w:gridCol w:w="1364"/>
            <w:gridCol w:w="1364"/>
            <w:gridCol w:w="1364"/>
          </w:tblGrid>
        </w:tblGridChange>
      </w:tblGrid>
      <w:tr>
        <w:trPr>
          <w:cantSplit w:val="1"/>
          <w:trHeight w:val="495" w:hRule="atLeast"/>
          <w:tblHeader w:val="0"/>
        </w:trPr>
        <w:tc>
          <w:tcPr>
            <w:gridSpan w:val="2"/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Impacto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Probabilidad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Bajo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Alto</w:t>
            </w:r>
          </w:p>
        </w:tc>
      </w:tr>
      <w:tr>
        <w:trPr>
          <w:cantSplit w:val="1"/>
          <w:trHeight w:val="392" w:hRule="atLeast"/>
          <w:tblHeader w:val="0"/>
        </w:trPr>
        <w:tc>
          <w:tcPr>
            <w:gridSpan w:val="2"/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0,05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0,20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0,40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0,80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Alta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0,90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0,70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0,50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0,30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Baja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sq48a3n88db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Oportunidades</w:t>
      </w:r>
    </w:p>
    <w:tbl>
      <w:tblPr>
        <w:tblStyle w:val="Table11"/>
        <w:tblW w:w="8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7"/>
        <w:gridCol w:w="808"/>
        <w:gridCol w:w="1364"/>
        <w:gridCol w:w="1365"/>
        <w:gridCol w:w="1364"/>
        <w:gridCol w:w="1364"/>
        <w:gridCol w:w="1364"/>
        <w:tblGridChange w:id="0">
          <w:tblGrid>
            <w:gridCol w:w="1317"/>
            <w:gridCol w:w="808"/>
            <w:gridCol w:w="1364"/>
            <w:gridCol w:w="1365"/>
            <w:gridCol w:w="1364"/>
            <w:gridCol w:w="1364"/>
            <w:gridCol w:w="1364"/>
          </w:tblGrid>
        </w:tblGridChange>
      </w:tblGrid>
      <w:tr>
        <w:trPr>
          <w:cantSplit w:val="1"/>
          <w:trHeight w:val="495" w:hRule="atLeast"/>
          <w:tblHeader w:val="0"/>
        </w:trPr>
        <w:tc>
          <w:tcPr>
            <w:gridSpan w:val="2"/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Impacto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Probabilidad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Alto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Bajo</w:t>
            </w:r>
          </w:p>
        </w:tc>
      </w:tr>
      <w:tr>
        <w:trPr>
          <w:cantSplit w:val="1"/>
          <w:trHeight w:val="392" w:hRule="atLeast"/>
          <w:tblHeader w:val="0"/>
        </w:trPr>
        <w:tc>
          <w:tcPr>
            <w:gridSpan w:val="2"/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0,40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0,80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Alta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0,90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0,70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0,50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0,30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Baja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e76usufxci6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Revisión de la tolerancia de los interesados (Stakeholders)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interesados tienen una tolerancia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media-alta</w:t>
            </w:r>
            <w:r w:rsidDel="00000000" w:rsidR="00000000" w:rsidRPr="00000000">
              <w:rPr>
                <w:rtl w:val="0"/>
              </w:rPr>
              <w:t xml:space="preserve"> al riesgo, siempre que: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funcionalidad principal del proyecto no se verá afectada.</w:t>
              <w:br w:type="textWrapping"/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existen riesgos que comprometan la calidad educativa.</w:t>
              <w:br w:type="textWrapping"/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mantiene el cumplimiento académico.</w:t>
              <w:br w:type="textWrapping"/>
            </w:r>
          </w:p>
          <w:p w:rsidR="00000000" w:rsidDel="00000000" w:rsidP="00000000" w:rsidRDefault="00000000" w:rsidRPr="00000000" w14:paraId="00000139">
            <w:pPr>
              <w:spacing w:after="240" w:before="24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docente guía exige que los riesgos críticos (alto impacto + alta probabilidad) sean controlados y mitigados.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m1qefeyjzlw3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Formatos de los Informes</w:t>
      </w:r>
    </w:p>
    <w:tbl>
      <w:tblPr>
        <w:tblStyle w:val="Table1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informes de riesgos se presentarán en: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Planilla Excel</w:t>
            </w:r>
            <w:r w:rsidDel="00000000" w:rsidR="00000000" w:rsidRPr="00000000">
              <w:rPr>
                <w:rtl w:val="0"/>
              </w:rPr>
              <w:t xml:space="preserve"> con actualizaciones semanales.</w:t>
              <w:br w:type="textWrapping"/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PDF</w:t>
            </w:r>
            <w:r w:rsidDel="00000000" w:rsidR="00000000" w:rsidRPr="00000000">
              <w:rPr>
                <w:rtl w:val="0"/>
              </w:rPr>
              <w:t xml:space="preserve"> en hitos clave.</w:t>
              <w:br w:type="textWrapping"/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verbal</w:t>
            </w:r>
            <w:r w:rsidDel="00000000" w:rsidR="00000000" w:rsidRPr="00000000">
              <w:rPr>
                <w:rtl w:val="0"/>
              </w:rPr>
              <w:t xml:space="preserve"> en reuniones semanales.</w:t>
              <w:br w:type="textWrapping"/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incidentes</w:t>
            </w:r>
            <w:r w:rsidDel="00000000" w:rsidR="00000000" w:rsidRPr="00000000">
              <w:rPr>
                <w:rtl w:val="0"/>
              </w:rPr>
              <w:t xml:space="preserve"> en bitácora de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z0hdspy4gd5l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Seguimiento</w:t>
      </w:r>
    </w:p>
    <w:tbl>
      <w:tblPr>
        <w:tblStyle w:val="Table1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seguimiento se realizará: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Semanalmente durante reuniones de proyecto.</w:t>
              <w:br w:type="textWrapping"/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Antes y después de cada integración (frontend, backend, BD).</w:t>
              <w:br w:type="textWrapping"/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Cada vez que se agreguen nuevos niveles o funcionalidades en MonedA ventura.</w:t>
              <w:br w:type="textWrapping"/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partir del análisis de incidentes emergentes.</w:t>
              <w:br w:type="textWrapping"/>
            </w:r>
          </w:p>
          <w:p w:rsidR="00000000" w:rsidDel="00000000" w:rsidP="00000000" w:rsidRDefault="00000000" w:rsidRPr="00000000" w14:paraId="00000146">
            <w:pPr>
              <w:spacing w:after="240" w:before="240" w:line="240" w:lineRule="auto"/>
              <w:ind w:left="0" w:firstLine="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Cualquier riesgo crítico disparará una planificación inmediata.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sqavgomvbb0h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1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19/11/2025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</w:rPr>
              <w:drawing>
                <wp:inline distB="114300" distT="114300" distL="114300" distR="114300">
                  <wp:extent cx="1771650" cy="647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Gerente del Proyecto (Kevin Ortega)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19/11/2025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</w:rPr>
              <w:drawing>
                <wp:inline distB="114300" distT="114300" distL="114300" distR="114300">
                  <wp:extent cx="1771650" cy="952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wLVrJFQS/coJ67I6cBHr/UtTXw==">CgMxLjAyDmguN3ZicXF4am8xdGZ5Mg5oLjN3bzlxajJ6cGFvaTIOaC5saGszYXVtcHRzYjcyDmguOXlrdWJ4c2w3YmdxMg5oLmNza3MxNjNvaGpoczIOaC5uY3ByZjBiazZ6M3gyDmgubnR4a2RhbGtyM3M4Mg5oLmV5Y2o1dDd2YXFnZjIOaC53MW5vZHlqam9nMTAyDmgubXpuN205aWU1ZjhsMg5oLnF0b2piZnc5eDVwOTIOaC4yb2xxMWo1NndoNjIyDmgudXNxNDhhM244OGRiMg5oLnRlNzZ1c3VmeGNpNjIOaC5tMXFlZmV5anpsdzMyDmguejBoZHNweTRnZDVsMg5oLnNxYXZnb212YmIwaDgAciExQkpGQ0NvaXJOa0ZoY2VRcUN1RmwyOGFnRXRtZ2FYQ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