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F777" w14:textId="77777777" w:rsidR="00C805F6" w:rsidRDefault="00C805F6" w:rsidP="00C805F6">
      <w:pPr>
        <w:autoSpaceDE w:val="0"/>
        <w:autoSpaceDN w:val="0"/>
        <w:adjustRightInd w:val="0"/>
        <w:jc w:val="left"/>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经典倒立摆数学模型</w:t>
      </w:r>
    </w:p>
    <w:p w14:paraId="53E65085" w14:textId="77777777" w:rsidR="00C805F6" w:rsidRDefault="00C805F6" w:rsidP="00C805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倒立摆系统是一种多变量、非线性、不稳定的耦合欠驱动机械系统，被广泛地应用于控制理论的教学、实验和验证控制算法的有效性。倒立摆的稳摆控制方法在军工、航天、机器人领域和工业工程上具有很广泛的用途，如人型机器人行走过程中的平衡控制、火箭发射中的垂直度控制和卫星的姿态控制等这些类似于倒立摆的重心在上，支点在下的倒置控制问题。</w:t>
      </w:r>
    </w:p>
    <w:p w14:paraId="45ABD250" w14:textId="77777777" w:rsidR="00C805F6" w:rsidRDefault="00C805F6" w:rsidP="00C805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5337F944" wp14:editId="25629114">
            <wp:extent cx="3894193" cy="1662545"/>
            <wp:effectExtent l="0" t="0" r="0" b="0"/>
            <wp:docPr id="863253188"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53188" name="图片 2" descr="图示, 工程绘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894193" cy="1662545"/>
                    </a:xfrm>
                    <a:prstGeom prst="rect">
                      <a:avLst/>
                    </a:prstGeom>
                  </pic:spPr>
                </pic:pic>
              </a:graphicData>
            </a:graphic>
          </wp:inline>
        </w:drawing>
      </w:r>
    </w:p>
    <w:p w14:paraId="6BB0124A" w14:textId="77777777" w:rsidR="00C805F6" w:rsidRDefault="00C805F6" w:rsidP="00C805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图</w:t>
      </w:r>
      <w:r>
        <w:rPr>
          <w:rFonts w:ascii="OpenSans-Regular" w:eastAsia="OpenSans-Regular" w:hAnsi="Cambria Math" w:cs="OpenSans-Regular"/>
          <w:bCs/>
          <w:color w:val="333333"/>
          <w:kern w:val="0"/>
          <w:sz w:val="20"/>
          <w:szCs w:val="20"/>
        </w:rPr>
        <w:t>3.1</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）为倒立摆系统简化模型图，图</w:t>
      </w:r>
      <w:r>
        <w:rPr>
          <w:rFonts w:ascii="OpenSans-Regular" w:eastAsia="OpenSans-Regular" w:hAnsi="Cambria Math" w:cs="OpenSans-Regular"/>
          <w:bCs/>
          <w:color w:val="333333"/>
          <w:kern w:val="0"/>
          <w:sz w:val="20"/>
          <w:szCs w:val="20"/>
        </w:rPr>
        <w:t>3.1</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b</w:t>
      </w:r>
      <w:r>
        <w:rPr>
          <w:rFonts w:ascii="MicrosoftYaHei" w:eastAsia="MicrosoftYaHei" w:hAnsi="Cambria Math" w:cs="MicrosoftYaHei" w:hint="eastAsia"/>
          <w:bCs/>
          <w:color w:val="333333"/>
          <w:kern w:val="0"/>
          <w:sz w:val="20"/>
          <w:szCs w:val="20"/>
        </w:rPr>
        <w:t>）为倒立摆系统受力分析图。</w:t>
      </w:r>
    </w:p>
    <w:p w14:paraId="5CBA88CF" w14:textId="77777777" w:rsidR="00C805F6" w:rsidRDefault="00C805F6" w:rsidP="00C805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在图</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1 </w:t>
      </w:r>
      <w:r>
        <w:rPr>
          <w:rFonts w:ascii="MicrosoftYaHei" w:eastAsia="MicrosoftYaHei" w:hAnsi="Cambria Math" w:cs="MicrosoftYaHei" w:hint="eastAsia"/>
          <w:bCs/>
          <w:color w:val="333333"/>
          <w:kern w:val="0"/>
          <w:sz w:val="20"/>
          <w:szCs w:val="20"/>
        </w:rPr>
        <w:t>中，</w:t>
      </w:r>
    </w:p>
    <w:tbl>
      <w:tblPr>
        <w:tblStyle w:val="a7"/>
        <w:tblW w:w="0" w:type="auto"/>
        <w:tblLook w:val="04A0" w:firstRow="1" w:lastRow="0" w:firstColumn="1" w:lastColumn="0" w:noHBand="0" w:noVBand="1"/>
      </w:tblPr>
      <w:tblGrid>
        <w:gridCol w:w="4261"/>
        <w:gridCol w:w="4261"/>
      </w:tblGrid>
      <w:tr w:rsidR="00C805F6" w14:paraId="4903281F" w14:textId="77777777" w:rsidTr="00E629F6">
        <w:tc>
          <w:tcPr>
            <w:tcW w:w="4261" w:type="dxa"/>
          </w:tcPr>
          <w:p w14:paraId="7B1F44A3"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F</w:t>
            </w:r>
            <w:r>
              <w:rPr>
                <w:rFonts w:ascii="MicrosoftYaHei" w:eastAsia="MicrosoftYaHei" w:hAnsi="Cambria Math" w:cs="MicrosoftYaHei"/>
                <w:bCs/>
                <w:color w:val="333333"/>
                <w:kern w:val="0"/>
                <w:sz w:val="20"/>
                <w:szCs w:val="20"/>
              </w:rPr>
              <w:t xml:space="preserve"> </w:t>
            </w:r>
          </w:p>
          <w:p w14:paraId="79992071"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p>
        </w:tc>
        <w:tc>
          <w:tcPr>
            <w:tcW w:w="4261" w:type="dxa"/>
          </w:tcPr>
          <w:p w14:paraId="027E7961"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施加在小车上的驱动力</w:t>
            </w:r>
          </w:p>
        </w:tc>
      </w:tr>
      <w:tr w:rsidR="00C805F6" w14:paraId="2D338A85" w14:textId="77777777" w:rsidTr="00E629F6">
        <w:tc>
          <w:tcPr>
            <w:tcW w:w="4261" w:type="dxa"/>
          </w:tcPr>
          <w:p w14:paraId="19271BB6"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x </w:t>
            </w:r>
          </w:p>
        </w:tc>
        <w:tc>
          <w:tcPr>
            <w:tcW w:w="4261" w:type="dxa"/>
          </w:tcPr>
          <w:p w14:paraId="0C5ED58F"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小车的位移</w:t>
            </w:r>
          </w:p>
        </w:tc>
      </w:tr>
      <w:tr w:rsidR="00C805F6" w14:paraId="761CC5A0" w14:textId="77777777" w:rsidTr="00E629F6">
        <w:tc>
          <w:tcPr>
            <w:tcW w:w="4261" w:type="dxa"/>
          </w:tcPr>
          <w:p w14:paraId="2D55D34E"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M </w:t>
            </w:r>
          </w:p>
        </w:tc>
        <w:tc>
          <w:tcPr>
            <w:tcW w:w="4261" w:type="dxa"/>
          </w:tcPr>
          <w:p w14:paraId="509819A6"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小车的质量</w:t>
            </w:r>
          </w:p>
        </w:tc>
      </w:tr>
      <w:tr w:rsidR="00C805F6" w14:paraId="7B384570" w14:textId="77777777" w:rsidTr="00E629F6">
        <w:tc>
          <w:tcPr>
            <w:tcW w:w="4261" w:type="dxa"/>
          </w:tcPr>
          <w:p w14:paraId="48D6808A"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m </w:t>
            </w:r>
          </w:p>
        </w:tc>
        <w:tc>
          <w:tcPr>
            <w:tcW w:w="4261" w:type="dxa"/>
          </w:tcPr>
          <w:p w14:paraId="680DF9E2"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摆杆质量</w:t>
            </w:r>
          </w:p>
        </w:tc>
      </w:tr>
      <w:tr w:rsidR="00C805F6" w14:paraId="2E82B67C" w14:textId="77777777" w:rsidTr="00E629F6">
        <w:tc>
          <w:tcPr>
            <w:tcW w:w="4261" w:type="dxa"/>
          </w:tcPr>
          <w:p w14:paraId="38CCE0EF"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b </w:t>
            </w:r>
          </w:p>
        </w:tc>
        <w:tc>
          <w:tcPr>
            <w:tcW w:w="4261" w:type="dxa"/>
          </w:tcPr>
          <w:p w14:paraId="26DE056C"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小车移动的摩擦系数</w:t>
            </w:r>
          </w:p>
        </w:tc>
      </w:tr>
      <w:tr w:rsidR="00C805F6" w14:paraId="7C2A85A7" w14:textId="77777777" w:rsidTr="00E629F6">
        <w:tc>
          <w:tcPr>
            <w:tcW w:w="4261" w:type="dxa"/>
          </w:tcPr>
          <w:p w14:paraId="679F7A00"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I</w:t>
            </w:r>
          </w:p>
        </w:tc>
        <w:tc>
          <w:tcPr>
            <w:tcW w:w="4261" w:type="dxa"/>
          </w:tcPr>
          <w:p w14:paraId="6C1852B9" w14:textId="77777777" w:rsidR="00C805F6" w:rsidRPr="00835698" w:rsidRDefault="00C805F6" w:rsidP="00E629F6">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摆杆绕其质心的转动惯量（</w:t>
            </w:r>
            <w:r>
              <w:rPr>
                <w:rFonts w:ascii="OpenSans-Regular" w:eastAsia="OpenSans-Regular" w:hAnsi="Cambria Math" w:cs="OpenSans-Regular"/>
                <w:bCs/>
                <w:color w:val="333333"/>
                <w:kern w:val="0"/>
                <w:sz w:val="20"/>
                <w:szCs w:val="20"/>
              </w:rPr>
              <w:t>I = 1/(3ml^2)</w:t>
            </w:r>
          </w:p>
        </w:tc>
      </w:tr>
      <w:tr w:rsidR="00C805F6" w14:paraId="06718480" w14:textId="77777777" w:rsidTr="00E629F6">
        <w:tc>
          <w:tcPr>
            <w:tcW w:w="4261" w:type="dxa"/>
          </w:tcPr>
          <w:p w14:paraId="06566104"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ArialMT" w:eastAsia="ArialMT" w:hAnsi="Cambria Math" w:cs="ArialMT" w:hint="eastAsia"/>
                <w:bCs/>
                <w:color w:val="333333"/>
                <w:kern w:val="0"/>
                <w:sz w:val="20"/>
                <w:szCs w:val="20"/>
              </w:rPr>
              <w:t>η</w:t>
            </w:r>
            <w:r>
              <w:rPr>
                <w:rFonts w:ascii="ArialMT" w:eastAsia="ArialMT" w:hAnsi="Cambria Math" w:cs="ArialMT"/>
                <w:bCs/>
                <w:color w:val="333333"/>
                <w:kern w:val="0"/>
                <w:sz w:val="20"/>
                <w:szCs w:val="20"/>
              </w:rPr>
              <w:t xml:space="preserve"> </w:t>
            </w:r>
          </w:p>
        </w:tc>
        <w:tc>
          <w:tcPr>
            <w:tcW w:w="4261" w:type="dxa"/>
          </w:tcPr>
          <w:p w14:paraId="3AD487FB"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摆杆转动阻力矩系数</w:t>
            </w:r>
          </w:p>
        </w:tc>
      </w:tr>
      <w:tr w:rsidR="00C805F6" w14:paraId="03C1CC6A" w14:textId="77777777" w:rsidTr="00E629F6">
        <w:tc>
          <w:tcPr>
            <w:tcW w:w="4261" w:type="dxa"/>
          </w:tcPr>
          <w:p w14:paraId="4BF4CD95"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p>
        </w:tc>
        <w:tc>
          <w:tcPr>
            <w:tcW w:w="4261" w:type="dxa"/>
          </w:tcPr>
          <w:p w14:paraId="097FB7FB"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摆杆与竖直向下方向的夹角</w:t>
            </w:r>
          </w:p>
        </w:tc>
      </w:tr>
      <w:tr w:rsidR="00C805F6" w14:paraId="39585FEE" w14:textId="77777777" w:rsidTr="00E629F6">
        <w:tc>
          <w:tcPr>
            <w:tcW w:w="4261" w:type="dxa"/>
          </w:tcPr>
          <w:p w14:paraId="3CCBA2C6"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ArialMT" w:eastAsia="ArialMT" w:hAnsi="Cambria Math" w:cs="ArialMT" w:hint="eastAsia"/>
                <w:bCs/>
                <w:color w:val="333333"/>
                <w:kern w:val="0"/>
                <w:sz w:val="20"/>
                <w:szCs w:val="20"/>
              </w:rPr>
              <w:t>Φ</w:t>
            </w:r>
            <w:r>
              <w:rPr>
                <w:rFonts w:ascii="ArialMT" w:eastAsia="ArialMT" w:hAnsi="Cambria Math" w:cs="ArialMT"/>
                <w:bCs/>
                <w:color w:val="333333"/>
                <w:kern w:val="0"/>
                <w:sz w:val="20"/>
                <w:szCs w:val="20"/>
              </w:rPr>
              <w:t xml:space="preserve"> </w:t>
            </w:r>
          </w:p>
        </w:tc>
        <w:tc>
          <w:tcPr>
            <w:tcW w:w="4261" w:type="dxa"/>
          </w:tcPr>
          <w:p w14:paraId="6B305C78" w14:textId="77777777" w:rsidR="00C805F6" w:rsidRDefault="00C805F6" w:rsidP="00E629F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摆杆与竖直向上方向的夹角（逆时针为正）</w:t>
            </w:r>
          </w:p>
        </w:tc>
      </w:tr>
    </w:tbl>
    <w:p w14:paraId="0E64FC83" w14:textId="77777777" w:rsidR="00C805F6" w:rsidRPr="00B170E1" w:rsidRDefault="00C805F6" w:rsidP="00C805F6">
      <w:pPr>
        <w:autoSpaceDE w:val="0"/>
        <w:autoSpaceDN w:val="0"/>
        <w:adjustRightInd w:val="0"/>
        <w:jc w:val="left"/>
        <w:rPr>
          <w:rFonts w:ascii="MicrosoftYaHei" w:eastAsia="MicrosoftYaHei" w:hAnsi="Cambria Math" w:cs="MicrosoftYaHei"/>
          <w:bCs/>
          <w:color w:val="333333"/>
          <w:kern w:val="0"/>
          <w:sz w:val="20"/>
          <w:szCs w:val="20"/>
        </w:rPr>
      </w:pPr>
    </w:p>
    <w:p w14:paraId="407C6B34" w14:textId="77777777" w:rsidR="00A82FE4" w:rsidRPr="00DB3ABB" w:rsidRDefault="00A82FE4"/>
    <w:sectPr w:rsidR="00A82FE4" w:rsidRPr="00DB3ABB" w:rsidSect="00296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7EA2" w14:textId="77777777" w:rsidR="00296FE8" w:rsidRDefault="00296FE8" w:rsidP="00C805F6">
      <w:r>
        <w:separator/>
      </w:r>
    </w:p>
  </w:endnote>
  <w:endnote w:type="continuationSeparator" w:id="0">
    <w:p w14:paraId="6F2B6872" w14:textId="77777777" w:rsidR="00296FE8" w:rsidRDefault="00296FE8" w:rsidP="00C8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ArialMT">
    <w:altName w:val="HarmonyOS Sans SC"/>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2A12" w14:textId="77777777" w:rsidR="00296FE8" w:rsidRDefault="00296FE8" w:rsidP="00C805F6">
      <w:r>
        <w:separator/>
      </w:r>
    </w:p>
  </w:footnote>
  <w:footnote w:type="continuationSeparator" w:id="0">
    <w:p w14:paraId="2FA0BBE3" w14:textId="77777777" w:rsidR="00296FE8" w:rsidRDefault="00296FE8" w:rsidP="00C80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52EB"/>
    <w:rsid w:val="00066748"/>
    <w:rsid w:val="00082493"/>
    <w:rsid w:val="002952EB"/>
    <w:rsid w:val="00296FE8"/>
    <w:rsid w:val="00384888"/>
    <w:rsid w:val="0039737C"/>
    <w:rsid w:val="004A6119"/>
    <w:rsid w:val="006B5633"/>
    <w:rsid w:val="007442D2"/>
    <w:rsid w:val="00A82FE4"/>
    <w:rsid w:val="00AC0C9F"/>
    <w:rsid w:val="00C805F6"/>
    <w:rsid w:val="00C811C1"/>
    <w:rsid w:val="00DB3ABB"/>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768AF"/>
  <w15:chartTrackingRefBased/>
  <w15:docId w15:val="{17165CC4-A943-4BB4-90E8-5099A867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5F6"/>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paragraph" w:styleId="a3">
    <w:name w:val="header"/>
    <w:basedOn w:val="a"/>
    <w:link w:val="a4"/>
    <w:uiPriority w:val="99"/>
    <w:unhideWhenUsed/>
    <w:rsid w:val="00C805F6"/>
    <w:pPr>
      <w:tabs>
        <w:tab w:val="center" w:pos="4153"/>
        <w:tab w:val="right" w:pos="8306"/>
      </w:tabs>
      <w:snapToGrid w:val="0"/>
      <w:jc w:val="center"/>
    </w:pPr>
    <w:rPr>
      <w:sz w:val="18"/>
      <w:szCs w:val="18"/>
    </w:rPr>
  </w:style>
  <w:style w:type="character" w:customStyle="1" w:styleId="a4">
    <w:name w:val="页眉 字符"/>
    <w:basedOn w:val="a0"/>
    <w:link w:val="a3"/>
    <w:uiPriority w:val="99"/>
    <w:rsid w:val="00C805F6"/>
    <w:rPr>
      <w:rFonts w:asciiTheme="minorHAnsi" w:hAnsiTheme="minorHAnsi" w:cstheme="minorBidi"/>
      <w:bCs w:val="0"/>
      <w:color w:val="auto"/>
      <w:sz w:val="18"/>
      <w:szCs w:val="18"/>
    </w:rPr>
  </w:style>
  <w:style w:type="paragraph" w:styleId="a5">
    <w:name w:val="footer"/>
    <w:basedOn w:val="a"/>
    <w:link w:val="a6"/>
    <w:uiPriority w:val="99"/>
    <w:unhideWhenUsed/>
    <w:rsid w:val="00C805F6"/>
    <w:pPr>
      <w:tabs>
        <w:tab w:val="center" w:pos="4153"/>
        <w:tab w:val="right" w:pos="8306"/>
      </w:tabs>
      <w:snapToGrid w:val="0"/>
      <w:jc w:val="left"/>
    </w:pPr>
    <w:rPr>
      <w:sz w:val="18"/>
      <w:szCs w:val="18"/>
    </w:rPr>
  </w:style>
  <w:style w:type="character" w:customStyle="1" w:styleId="a6">
    <w:name w:val="页脚 字符"/>
    <w:basedOn w:val="a0"/>
    <w:link w:val="a5"/>
    <w:uiPriority w:val="99"/>
    <w:rsid w:val="00C805F6"/>
    <w:rPr>
      <w:rFonts w:asciiTheme="minorHAnsi" w:hAnsiTheme="minorHAnsi" w:cstheme="minorBidi"/>
      <w:bCs w:val="0"/>
      <w:color w:val="auto"/>
      <w:sz w:val="18"/>
      <w:szCs w:val="18"/>
    </w:rPr>
  </w:style>
  <w:style w:type="table" w:styleId="a7">
    <w:name w:val="Table Grid"/>
    <w:basedOn w:val="a1"/>
    <w:uiPriority w:val="39"/>
    <w:rsid w:val="00C80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4</cp:revision>
  <dcterms:created xsi:type="dcterms:W3CDTF">2024-01-28T14:14:00Z</dcterms:created>
  <dcterms:modified xsi:type="dcterms:W3CDTF">2024-01-28T14:15:00Z</dcterms:modified>
</cp:coreProperties>
</file>