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HX-400 technical proposal — Humber quench-water duty</w:t>
      </w:r>
    </w:p>
    <w:p>
      <w:r>
        <w:t xml:space="preserve">Prepared for the reliability and process engineering teams. Revision C, 20 January 2026.</w:t>
      </w:r>
    </w:p>
    <w:p>
      <w:pPr>
        <w:pStyle w:val="Heading1"/>
      </w:pPr>
      <w:r>
        <w:t xml:space="preserve">Scope</w:t>
      </w:r>
    </w:p>
    <w:p>
      <w:r>
        <w:t xml:space="preserve">Supply of one HX-400 removable-bundle shell-and-tube exchanger for quench-water service, including thermal and mechanical design, fabrication, inspection, and delivery to site. Extraction rail is in the base scope rather than a line item.</w:t>
      </w:r>
    </w:p>
    <w:p>
      <w:pPr>
        <w:pStyle w:val="Heading2"/>
      </w:pPr>
      <w:r>
        <w:t xml:space="preserve">Duty basis</w:t>
      </w:r>
    </w:p>
    <w:p>
      <w:r>
        <w:t xml:space="preserve">Sized to the end of run rather than to a fouled steady state, on the cleaning interval the site actually holds. See </w:t>
      </w:r>
    </w:p>
    <w:p>
      <w:hyperlink r:id="rId11">
        <w:r>
          <w:rPr>
            <w:rStyle w:val="Hyperlink"/>
          </w:rPr>
          <w:t>the HX-400 product page</w:t>
        </w:r>
      </w:hyperlink>
      <w:r>
        <w:t xml:space="preserve"> for the full configuration range.</w:t>
      </w:r>
    </w:p>
    <w:p>
      <w:pPr>
        <w:pStyle w:val="ListParagraph"/>
        <w:numPr>
          <w:ilvl w:val="0"/>
          <w:numId w:val="1"/>
        </w:numPr>
      </w:pPr>
      <w:r>
        <w:t xml:space="preserve">Design pressure 42 barg, design temperature 285 °C.</w:t>
      </w:r>
    </w:p>
    <w:p>
      <w:pPr>
        <w:pStyle w:val="ListParagraph"/>
        <w:numPr>
          <w:ilvl w:val="0"/>
          <w:numId w:val="1"/>
        </w:numPr>
      </w:pPr>
      <w:r>
        <w:t xml:space="preserve">Tube side duplex 2205; shell side carbon steel with a 3 mm corrosion allowance.</w:t>
      </w:r>
    </w:p>
    <w:p>
      <w:pPr>
        <w:pStyle w:val="ListParagraph"/>
        <w:numPr>
          <w:ilvl w:val="0"/>
          <w:numId w:val="1"/>
        </w:numPr>
      </w:pPr>
      <w:r>
        <w:t xml:space="preserve">TEMA AES, single shell pass, two tube passes.</w:t>
      </w:r>
    </w:p>
    <w:p>
      <w:pPr>
        <w:pStyle w:val="ListParagraph"/>
        <w:numPr>
          <w:ilvl w:val="0"/>
          <w:numId w:val="1"/>
        </w:numPr>
      </w:pPr>
      <w:r>
        <w:t xml:space="preserve">Surface area 412 m² at the specified end-of-run condition.</w:t>
      </w:r>
    </w:p>
    <w:p>
      <w:pPr>
        <w:pStyle w:val="Heading2"/>
      </w:pPr>
      <w:r>
        <w:t xml:space="preserve">Split of responsibility</w:t>
      </w:r>
    </w:p>
    <w:tbl>
      <w:tblPr>
        <w:tblStyle w:val="TableGrid"/>
      </w:tblPr>
      <w:tr>
        <w:tc>
          <w:tcPr>
            <w:shd w:val="clear" w:fill="EEF2F6"/>
          </w:tcPr>
          <w:p>
            <w:r>
              <w:t xml:space="preserve">Item</w:t>
            </w:r>
          </w:p>
        </w:tc>
        <w:tc>
          <w:tcPr>
            <w:shd w:val="clear" w:fill="EEF2F6"/>
          </w:tcPr>
          <w:p>
            <w:r>
              <w:t xml:space="preserve">Scope</w:t>
            </w:r>
          </w:p>
        </w:tc>
        <w:tc>
          <w:tcPr>
            <w:shd w:val="clear" w:fill="EEF2F6"/>
          </w:tcPr>
          <w:p>
            <w:r>
              <w:t xml:space="preserve">Owner</w:t>
            </w:r>
          </w:p>
        </w:tc>
      </w:tr>
      <w:tr>
        <w:tc>
          <w:p>
            <w:r>
              <w:t xml:space="preserve">Thermal design report</w:t>
            </w:r>
          </w:p>
        </w:tc>
        <w:tc>
          <w:p>
            <w:r>
              <w:t xml:space="preserve">Northwind</w:t>
            </w:r>
          </w:p>
        </w:tc>
        <w:tc>
          <w:p>
            <w:r>
              <w:t xml:space="preserve">M. Ellison</w:t>
            </w:r>
          </w:p>
        </w:tc>
      </w:tr>
      <w:tr>
        <w:tc>
          <w:p>
            <w:r>
              <w:t xml:space="preserve">Bundle extraction rail</w:t>
            </w:r>
          </w:p>
        </w:tc>
        <w:tc>
          <w:p>
            <w:r>
              <w:t xml:space="preserve">Northwind, base scope</w:t>
            </w:r>
          </w:p>
        </w:tc>
        <w:tc>
          <w:p>
            <w:r>
              <w:t xml:space="preserve">Works</w:t>
            </w:r>
          </w:p>
        </w:tc>
      </w:tr>
      <w:tr>
        <w:tc>
          <w:p>
            <w:r>
              <w:t xml:space="preserve">Foundation and grouting</w:t>
            </w:r>
          </w:p>
        </w:tc>
        <w:tc>
          <w:p>
            <w:r>
              <w:t xml:space="preserve">Client</w:t>
            </w:r>
          </w:p>
        </w:tc>
        <w:tc>
          <w:p>
            <w:r>
              <w:t xml:space="preserve">Site civils</w:t>
            </w:r>
          </w:p>
        </w:tc>
      </w:tr>
      <w:tr>
        <w:tc>
          <w:p>
            <w:r>
              <w:t xml:space="preserve">Insulation and cladding</w:t>
            </w:r>
          </w:p>
        </w:tc>
        <w:tc>
          <w:p>
            <w:r>
              <w:t xml:space="preserve">Client</w:t>
            </w:r>
          </w:p>
        </w:tc>
        <w:tc>
          <w:p>
            <w:r>
              <w:t xml:space="preserve">Site</w:t>
            </w:r>
          </w:p>
        </w:tc>
      </w:tr>
      <w:tr>
        <w:tc>
          <w:p>
            <w:r>
              <w:t xml:space="preserve">Wet commissioning</w:t>
            </w:r>
          </w:p>
        </w:tc>
        <w:tc>
          <w:p>
            <w:r>
              <w:t xml:space="preserve">Joint</w:t>
            </w:r>
          </w:p>
        </w:tc>
        <w:tc>
          <w:p>
            <w:r>
              <w:t xml:space="preserve">Service</w:t>
            </w:r>
          </w:p>
        </w:tc>
      </w:tr>
    </w:tbl>
    <w:p>
      <w:pPr>
        <w:pStyle w:val="Heading2"/>
      </w:pPr>
      <w:r>
        <w:t xml:space="preserve">Delivery</w:t>
      </w:r>
    </w:p>
    <w:p>
      <w:r>
        <w:t xml:space="preserve">Twenty-four weeks from drawing approval, held on the duplex mill slot already reserved. The bundle ships separately and is fitted on site by the regional workshop.</w:t>
      </w:r>
    </w:p>
    <w:p>
      <w:r>
        <w:drawing>
          <wp:inline xmlns:wp="http://schemas.openxmlformats.org/drawingml/2006/wordprocessingDrawing">
            <wp:docPr id="1" name="Picture 1" descr="HX-400 exchanger with the bundle partly withdraw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10"/>
                  </pic:blipFill>
                </pic:pic>
              </a:graphicData>
            </a:graphic>
          </wp:inline>
        </w:drawing>
      </w:r>
    </w:p>
    <w:p>
      <w:r>
        <w:t xml:space="preserve">Figure 1 — bundle partly withdrawn on the extraction rail.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0" Type="http://schemas.openxmlformats.org/officeDocument/2006/relationships/image" Target="media/image1.png"/>
<Relationship Id="rId11" Type="http://schemas.openxmlformats.org/officeDocument/2006/relationships/hyperlink" Target="https://www.northwind-industrial.example/equipment/heat-exchangers/hx-400/" TargetMode="External"/>
<Relationship Id="rId12" Type="http://schemas.openxmlformats.org/officeDocument/2006/relationships/styles" Target="styles.xml"/>
</Relationships>
</file>